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00000"/>
        </w:rPr>
        <w:t>Техническое задание на сервис уведомлений</w:t>
      </w:r>
    </w:p>
    <w:p>
      <w:pPr>
        <w:spacing w:after="280"/>
      </w:pPr>
      <w:r>
        <w:rPr>
          <w:color w:val="000000"/>
        </w:rPr>
        <w:t>Документ определяет назначение, границы и требования к сервису, который принимает запрос на уведомление и передает его получателю по доступному каналу.</w:t>
      </w:r>
    </w:p>
    <w:p>
      <w:pPr>
        <w:pStyle w:val="Heading1"/>
        <w:keepNext/>
      </w:pPr>
      <w:r>
        <w:rPr>
          <w:color w:val="000000"/>
        </w:rPr>
        <w:t>Назначение</w:t>
      </w:r>
    </w:p>
    <w:p>
      <w:r>
        <w:rPr>
          <w:color w:val="000000"/>
        </w:rPr>
        <w:t>Сервис должен быстро доставлять пользователям уведомления о значимых событиях продукта и предоставлять вызывающей системе идентификатор операции.</w:t>
      </w:r>
    </w:p>
    <w:p>
      <w:pPr>
        <w:pStyle w:val="Heading1"/>
        <w:keepNext/>
      </w:pPr>
      <w:r>
        <w:rPr>
          <w:color w:val="000000"/>
        </w:rPr>
        <w:t>Границы решения</w:t>
      </w:r>
    </w:p>
    <w:p>
      <w:r>
        <w:rPr>
          <w:color w:val="000000"/>
        </w:rPr>
        <w:t>В решение входят прием запросов, выбор канала и передача сообщения провайдеру. Управление пользовательскими контактами и шаблонами выполняют внешние системы.</w:t>
      </w:r>
    </w:p>
    <w:p>
      <w:pPr>
        <w:pStyle w:val="Heading1"/>
        <w:keepNext/>
      </w:pPr>
      <w:r>
        <w:rPr>
          <w:color w:val="000000"/>
        </w:rPr>
        <w:t>Пользовательские сценарии</w:t>
      </w:r>
    </w:p>
    <w:p>
      <w:pPr>
        <w:pStyle w:val="ListBullet"/>
      </w:pPr>
      <w:r>
        <w:rPr>
          <w:color w:val="000000"/>
        </w:rPr>
        <w:t>Продуктовая система отправляет уведомление и получает идентификатор операции.</w:t>
      </w:r>
    </w:p>
    <w:p>
      <w:pPr>
        <w:pStyle w:val="ListBullet"/>
      </w:pPr>
      <w:r>
        <w:rPr>
          <w:color w:val="000000"/>
        </w:rPr>
        <w:t>Оператор уточняет итоговый статус доставки по идентификатору.</w:t>
      </w:r>
    </w:p>
    <w:p>
      <w:pPr>
        <w:pStyle w:val="ListBullet"/>
      </w:pPr>
      <w:r>
        <w:rPr>
          <w:color w:val="000000"/>
        </w:rPr>
        <w:t>При необходимости сервис повторяет передачу сообщения провайдеру.</w:t>
      </w:r>
    </w:p>
    <w:p>
      <w:pPr>
        <w:pStyle w:val="Heading1"/>
        <w:keepNext/>
      </w:pPr>
      <w:r>
        <w:rPr>
          <w:color w:val="000000"/>
        </w:rPr>
        <w:t>Функциональные требования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7483"/>
      </w:tblGrid>
      <w:tr>
        <w:trPr>
          <w:tblHeader w:val="true"/>
        </w:trPr>
        <w:tc>
          <w:tcPr>
            <w:tcW w:type="dxa" w:w="487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8"/>
          </w:tcPr>
          <w:p>
            <w:r>
              <w:rPr>
                <w:b/>
                <w:color w:val="FFFFFF"/>
              </w:rPr>
              <w:t>Код</w:t>
            </w:r>
          </w:p>
        </w:tc>
        <w:tc>
          <w:tcPr>
            <w:tcW w:type="dxa" w:w="487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8"/>
          </w:tcPr>
          <w:p>
            <w:r>
              <w:rPr>
                <w:b/>
                <w:color w:val="FFFFFF"/>
              </w:rPr>
              <w:t>Требование</w:t>
            </w:r>
          </w:p>
        </w:tc>
      </w:tr>
      <w:tr>
        <w:tc>
          <w:tcPr>
            <w:tcW w:type="dxa" w:w="124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FR 1</w:t>
            </w:r>
          </w:p>
        </w:tc>
        <w:tc>
          <w:tcPr>
            <w:tcW w:type="dxa" w:w="748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Принять адресата, канал и текст уведомления.</w:t>
            </w:r>
          </w:p>
        </w:tc>
      </w:tr>
      <w:tr>
        <w:tc>
          <w:tcPr>
            <w:tcW w:type="dxa" w:w="124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EAF2F8"/>
          </w:tcPr>
          <w:p>
            <w:r>
              <w:t>FR 2</w:t>
            </w:r>
          </w:p>
        </w:tc>
        <w:tc>
          <w:tcPr>
            <w:tcW w:type="dxa" w:w="748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EAF2F8"/>
          </w:tcPr>
          <w:p>
            <w:r>
              <w:t>Выбрать доступного провайдера и передать ему сообщение.</w:t>
            </w:r>
          </w:p>
        </w:tc>
      </w:tr>
      <w:tr>
        <w:tc>
          <w:tcPr>
            <w:tcW w:type="dxa" w:w="124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FR 3</w:t>
            </w:r>
          </w:p>
        </w:tc>
        <w:tc>
          <w:tcPr>
            <w:tcW w:type="dxa" w:w="748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Повторить отправку при временном отказе. Количество попыток: TBD.</w:t>
            </w:r>
          </w:p>
        </w:tc>
      </w:tr>
      <w:tr>
        <w:tc>
          <w:tcPr>
            <w:tcW w:type="dxa" w:w="124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EAF2F8"/>
          </w:tcPr>
          <w:p>
            <w:r>
              <w:t>FR 4</w:t>
            </w:r>
          </w:p>
        </w:tc>
        <w:tc>
          <w:tcPr>
            <w:tcW w:type="dxa" w:w="748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EAF2F8"/>
          </w:tcPr>
          <w:p>
            <w:r>
              <w:t>Вернуть вызывающей системе текущий статус операции.</w:t>
            </w:r>
          </w:p>
        </w:tc>
      </w:tr>
    </w:tbl>
    <w:p>
      <w:pPr>
        <w:pStyle w:val="Heading1"/>
        <w:keepNext/>
        <w:pageBreakBefore/>
        <w:spacing w:after="200"/>
      </w:pPr>
      <w:r>
        <w:rPr>
          <w:color w:val="000000"/>
        </w:rPr>
        <w:t>Интерфейсы</w:t>
      </w:r>
    </w:p>
    <w:p>
      <w:r>
        <w:rPr>
          <w:color w:val="000000"/>
        </w:rPr>
        <w:t>POST /notifications принимает запрос на отправку сообщения.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8"/>
          </w:tcPr>
          <w:p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32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8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32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8"/>
          </w:tcPr>
          <w:p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32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recipient</w:t>
            </w:r>
          </w:p>
        </w:tc>
        <w:tc>
          <w:tcPr>
            <w:tcW w:type="dxa" w:w="32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string</w:t>
            </w:r>
          </w:p>
        </w:tc>
        <w:tc>
          <w:tcPr>
            <w:tcW w:type="dxa" w:w="32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Адрес получателя</w:t>
            </w:r>
          </w:p>
        </w:tc>
      </w:tr>
      <w:tr>
        <w:tc>
          <w:tcPr>
            <w:tcW w:type="dxa" w:w="32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EAF2F8"/>
          </w:tcPr>
          <w:p>
            <w:r>
              <w:t>channel</w:t>
            </w:r>
          </w:p>
        </w:tc>
        <w:tc>
          <w:tcPr>
            <w:tcW w:type="dxa" w:w="32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EAF2F8"/>
          </w:tcPr>
          <w:p>
            <w:r>
              <w:t>string</w:t>
            </w:r>
          </w:p>
        </w:tc>
        <w:tc>
          <w:tcPr>
            <w:tcW w:type="dxa" w:w="32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EAF2F8"/>
          </w:tcPr>
          <w:p>
            <w:r>
              <w:t>Канал доставки</w:t>
            </w:r>
          </w:p>
        </w:tc>
      </w:tr>
      <w:tr>
        <w:tc>
          <w:tcPr>
            <w:tcW w:type="dxa" w:w="32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message</w:t>
            </w:r>
          </w:p>
        </w:tc>
        <w:tc>
          <w:tcPr>
            <w:tcW w:type="dxa" w:w="32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string</w:t>
            </w:r>
          </w:p>
        </w:tc>
        <w:tc>
          <w:tcPr>
            <w:tcW w:type="dxa" w:w="32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Текст сообщения</w:t>
            </w:r>
          </w:p>
        </w:tc>
      </w:tr>
    </w:tbl>
    <w:p>
      <w:r>
        <w:rPr>
          <w:color w:val="000000"/>
        </w:rPr>
        <w:t>Формат успешного ответа, коды ошибок и правило идемпотентности будут уточнены.</w:t>
      </w:r>
    </w:p>
    <w:p>
      <w:pPr>
        <w:pStyle w:val="Heading1"/>
        <w:keepNext/>
      </w:pPr>
      <w:r>
        <w:rPr>
          <w:color w:val="000000"/>
        </w:rPr>
        <w:t>Модель данных</w:t>
      </w:r>
    </w:p>
    <w:p>
      <w:r>
        <w:rPr>
          <w:color w:val="000000"/>
        </w:rPr>
        <w:t>Операция содержит идентификатор, адресата, канал, сообщение, статус и время создания. Срок хранения истории операций: TODO.</w:t>
      </w:r>
    </w:p>
    <w:p>
      <w:pPr>
        <w:pStyle w:val="Heading1"/>
        <w:keepNext/>
      </w:pPr>
      <w:r>
        <w:rPr>
          <w:color w:val="000000"/>
        </w:rPr>
        <w:t>Нефункциональные требования</w:t>
      </w:r>
    </w:p>
    <w:p>
      <w:pPr>
        <w:pStyle w:val="ListBullet"/>
      </w:pPr>
      <w:r>
        <w:rPr>
          <w:color w:val="000000"/>
        </w:rPr>
        <w:t>Доступность сервиса должна составлять 99,9 процента за календарный месяц.</w:t>
      </w:r>
    </w:p>
    <w:p>
      <w:pPr>
        <w:pStyle w:val="ListBullet"/>
      </w:pPr>
      <w:r>
        <w:rPr>
          <w:color w:val="000000"/>
        </w:rPr>
        <w:t>Сервис должен отвечать с минимальной задержкой.</w:t>
      </w:r>
    </w:p>
    <w:p>
      <w:pPr>
        <w:pStyle w:val="ListBullet"/>
      </w:pPr>
      <w:r>
        <w:rPr>
          <w:color w:val="000000"/>
        </w:rPr>
        <w:t>Таймаут обращения к провайдеру составляет 1 секунду.</w:t>
      </w:r>
    </w:p>
    <w:p>
      <w:pPr>
        <w:pStyle w:val="ListBullet"/>
      </w:pPr>
      <w:r>
        <w:rPr>
          <w:color w:val="000000"/>
        </w:rPr>
        <w:t>Повтор запроса к провайдеру выполняется через 2 секунды.</w:t>
      </w:r>
    </w:p>
    <w:p>
      <w:pPr>
        <w:pStyle w:val="Heading1"/>
        <w:keepNext/>
      </w:pPr>
      <w:r>
        <w:rPr>
          <w:color w:val="000000"/>
        </w:rPr>
        <w:t>Безопасность</w:t>
      </w:r>
    </w:p>
    <w:p>
      <w:r>
        <w:rPr>
          <w:color w:val="000000"/>
        </w:rPr>
        <w:t>Сервис доступен только внутренним системам. Способ аутентификации и правила авторизации будут определены позднее.</w:t>
      </w:r>
    </w:p>
    <w:p>
      <w:pPr>
        <w:pStyle w:val="Heading1"/>
        <w:keepNext/>
      </w:pPr>
      <w:r>
        <w:rPr>
          <w:color w:val="000000"/>
        </w:rPr>
        <w:t>Наблюдаемость</w:t>
      </w:r>
    </w:p>
    <w:p>
      <w:pPr>
        <w:spacing w:after="200"/>
      </w:pPr>
      <w:r>
        <w:rPr>
          <w:color w:val="000000"/>
        </w:rPr>
        <w:t>Сервис журналирует идентификатор операции и итоговый статус. Набор метрик и условия оповещения команды: TBD.</w:t>
      </w:r>
    </w:p>
    <w:p>
      <w:pPr>
        <w:pStyle w:val="Heading1"/>
        <w:keepNext/>
        <w:spacing w:before="320"/>
      </w:pPr>
      <w:r>
        <w:rPr>
          <w:color w:val="000000"/>
        </w:rPr>
        <w:t>Критерии приемки</w:t>
      </w:r>
    </w:p>
    <w:p>
      <w:r>
        <w:rPr>
          <w:color w:val="000000"/>
        </w:rPr>
        <w:t>Сервис считается принятым, если уведомления доставляются достаточно быстро, а интерфейс удобен для интеграции.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