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6">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t>VA Report – {{ conn.info.name }}</w:t>
            </w:r>
          </w:p>
          <w:p>
            <w:pPr>
              <w:pStyle w:val="DDTB1"/>
              <w:widowControl w:val="false"/>
              <w:suppressAutoHyphens w:val="true"/>
              <w:jc w:val="left"/>
              <w:rPr>
                <w:rFonts w:eastAsia="Times New Roman"/>
                <w:lang w:val="en-GB" w:eastAsia="en-GB" w:bidi="ar-SA"/>
              </w:rPr>
            </w:pPr>
            <w:r>
              <w:rPr/>
              <w:t>{{ month }} Monthly Vulnerability Assessment (VA) Report</w:t>
            </w:r>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t>{{ date }} | Document Version 0.01</w:t>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660150507"/>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Solutions Ltd</w:t>
          </w:r>
        </w:sdtContent>
      </w:sdt>
      <w:r>
        <w:rPr/>
        <w:t xml:space="preserve"> ('</w:t>
      </w:r>
      <w:r>
        <w:rPr/>
        <w:t xml:space="preserve">Dimension Data'). {{ conn.info.name }}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conn.info.name }}</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conn.info.name }}</w:t>
      </w:r>
      <w:r>
        <w:rPr/>
        <w:fldChar w:fldCharType="end"/>
      </w:r>
      <w:r>
        <w:rPr/>
        <w:t xml:space="preserve">’s evaluation of the document. </w:t>
      </w:r>
      <w:r>
        <w:rPr/>
        <w:fldChar w:fldCharType="begin"/>
      </w:r>
      <w:r>
        <w:rPr/>
        <w:instrText xml:space="preserve"> DOCPROPERTY "Client"</w:instrText>
      </w:r>
      <w:r>
        <w:rPr/>
        <w:fldChar w:fldCharType="separate"/>
      </w:r>
      <w:r>
        <w:rPr/>
        <w:t>{{ conn.info.name }}</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conn.info.name }}</w:t>
      </w:r>
      <w:r>
        <w:rPr/>
        <w:fldChar w:fldCharType="end"/>
      </w:r>
      <w:r>
        <w:rPr/>
        <w:t xml:space="preserve">. As a condition of receiving this document, </w:t>
      </w:r>
      <w:r>
        <w:rPr/>
        <w:fldChar w:fldCharType="begin"/>
      </w:r>
      <w:r>
        <w:rPr/>
        <w:instrText xml:space="preserve"> DOCPROPERTY "Client"</w:instrText>
      </w:r>
      <w:r>
        <w:rPr/>
        <w:fldChar w:fldCharType="separate"/>
      </w:r>
      <w:r>
        <w:rPr/>
        <w:t>{{ conn.info.name }}</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conn.info.name }}</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rFonts w:eastAsia="Times New Roman"/>
          <w:lang w:val="en-US" w:eastAsia="en-GB" w:bidi="ar-SA"/>
        </w:rPr>
        <w:t>{ conn.info.name }}</w:t>
      </w:r>
      <w:r>
        <w:rPr/>
        <w:t xml:space="preserve">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PreformattedText"/>
              <w:spacing w:before="60" w:after="0"/>
              <w:rPr>
                <w:rFonts w:ascii="Arial" w:hAnsi="Arial"/>
              </w:rPr>
            </w:pPr>
            <w:r>
              <w:rPr>
                <w:rFonts w:ascii="Arial" w:hAnsi="Arial"/>
              </w:rPr>
              <w:t>{{ month }} Monthly Vulnerability Assessment (VA) Report</w:t>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t>VA Report</w:t>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filename }}</w:t>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2022-12-28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2022-12-29</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 date }}</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298490008"/>
      <w:bookmarkStart w:id="15" w:name="_Toc340836620"/>
      <w:bookmarkStart w:id="16" w:name="_Toc396813672"/>
      <w:bookmarkStart w:id="17" w:name="_Toc400107796"/>
      <w:bookmarkStart w:id="18" w:name="_Toc328864"/>
      <w:bookmarkStart w:id="19" w:name="_Toc115681492"/>
      <w:r>
        <w:rPr/>
        <w:t>Document Purpose</w:t>
      </w:r>
      <w:bookmarkEnd w:id="14"/>
      <w:bookmarkEnd w:id="15"/>
      <w:bookmarkEnd w:id="16"/>
      <w:bookmarkEnd w:id="17"/>
      <w:bookmarkEnd w:id="18"/>
      <w:bookmarkEnd w:id="19"/>
    </w:p>
    <w:p>
      <w:pPr>
        <w:pStyle w:val="DDBodyText"/>
        <w:rPr/>
      </w:pPr>
      <w:r>
        <w:rPr/>
        <w:t>A vulnerability assessment (VA) report summarizes the findings of a vulnerability assessment, which is a process of identifying, analyzing, and prioritizing vulnerabilities in an organization's assets</w:t>
      </w:r>
    </w:p>
    <w:p>
      <w:pPr>
        <w:pStyle w:val="DDBodyText"/>
        <w:rPr/>
      </w:pPr>
      <w:r>
        <w:rPr/>
        <w:t>The purpose of this document is to provide in detail the recommended findings and remediations for the IP/Sytems in scope.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 xml:space="preserve">The intended audience of this document are </w:t>
      </w:r>
      <w:r>
        <w:rPr>
          <w:rFonts w:eastAsia="Times New Roman"/>
          <w:lang w:val="en-US" w:eastAsia="en-GB" w:bidi="ar-SA"/>
        </w:rPr>
        <w:t>{{ conn.info.name }}</w:t>
      </w:r>
      <w:r>
        <w:rPr/>
        <w:t xml:space="preserve">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298490011"/>
      <w:bookmarkStart w:id="33" w:name="_Toc115681495"/>
      <w:bookmarkStart w:id="34" w:name="_Toc340836623"/>
      <w:bookmarkStart w:id="35" w:name="_Toc396813675"/>
      <w:bookmarkStart w:id="36" w:name="_Toc400107799"/>
      <w:bookmarkStart w:id="37" w:name="_Toc328867"/>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907" w:type="dxa"/>
        <w:tblLayout w:type="fixed"/>
        <w:tblCellMar>
          <w:top w:w="0" w:type="dxa"/>
          <w:left w:w="0" w:type="dxa"/>
          <w:bottom w:w="0" w:type="dxa"/>
          <w:right w:w="0" w:type="dxa"/>
        </w:tblCellMar>
      </w:tblPr>
      <w:tblGrid>
        <w:gridCol w:w="2578"/>
        <w:gridCol w:w="6493"/>
      </w:tblGrid>
      <w:tr>
        <w:trPr/>
        <w:tc>
          <w:tcPr>
            <w:tcW w:w="2578" w:type="dxa"/>
            <w:tcBorders>
              <w:top w:val="single" w:sz="16" w:space="0" w:color="000000"/>
              <w:bottom w:val="single" w:sz="16" w:space="0" w:color="000000"/>
            </w:tcBorders>
          </w:tcPr>
          <w:p>
            <w:pPr>
              <w:pStyle w:val="DDTableBodyText"/>
              <w:widowControl w:val="false"/>
              <w:spacing w:before="60" w:after="60"/>
              <w:rPr>
                <w:b/>
                <w:b/>
                <w:bCs/>
              </w:rPr>
            </w:pPr>
            <w:r>
              <w:rPr>
                <w:b/>
                <w:bCs/>
              </w:rPr>
              <w:t>IPs</w:t>
            </w:r>
          </w:p>
        </w:tc>
        <w:tc>
          <w:tcPr>
            <w:tcW w:w="6493"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 {{ conn.info.targets }}</w:t>
            </w:r>
          </w:p>
        </w:tc>
      </w:tr>
    </w:tbl>
    <w:p>
      <w:pPr>
        <w:pStyle w:val="DDBodyText"/>
        <w:rPr/>
      </w:pPr>
      <w:r>
        <w:rPr/>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rFonts w:ascii="Arial" w:hAnsi="Arial" w:eastAsia="Times New Roman" w:cs="Arial"/>
          <w:b w:val="false"/>
          <w:b w:val="false"/>
          <w:bCs w:val="false"/>
          <w:color w:val="000000"/>
          <w:spacing w:val="10"/>
          <w:kern w:val="2"/>
          <w:sz w:val="20"/>
          <w:szCs w:val="20"/>
          <w:lang w:val="en-GB" w:eastAsia="en-US" w:bidi="ar-SA"/>
        </w:rPr>
      </w:pPr>
      <w:r>
        <w:rPr>
          <w:rFonts w:eastAsia="Times New Roman" w:cs="Arial"/>
          <w:b w:val="false"/>
          <w:bCs w:val="false"/>
          <w:iCs/>
          <w:color w:val="000000"/>
          <w:spacing w:val="10"/>
          <w:kern w:val="2"/>
          <w:sz w:val="20"/>
          <w:szCs w:val="20"/>
          <w:lang w:val="en-GB" w:eastAsia="en-US" w:bidi="ar-SA"/>
        </w:rPr>
        <w:t xml:space="preserve">This Is a severity based approach which </w:t>
      </w:r>
      <w:r>
        <w:rPr>
          <w:rFonts w:eastAsia="Times New Roman" w:cs="Arial"/>
          <w:b w:val="false"/>
          <w:bCs w:val="false"/>
          <w:i w:val="false"/>
          <w:iCs/>
          <w:caps w:val="false"/>
          <w:smallCaps w:val="false"/>
          <w:color w:val="000000"/>
          <w:spacing w:val="10"/>
          <w:kern w:val="2"/>
          <w:sz w:val="20"/>
          <w:szCs w:val="20"/>
          <w:lang w:val="en-GB" w:eastAsia="en-US" w:bidi="ar-SA"/>
        </w:rPr>
        <w:t xml:space="preserve">involves ranking vulnerabilities based on the potential impact they could have on an organization's assets, such as the potential for data loss, disruption of service, or unauthorized access to sensitive information. </w:t>
      </w:r>
    </w:p>
    <w:p>
      <w:pPr>
        <w:pStyle w:val="DDBodyText"/>
        <w:rPr>
          <w:rFonts w:eastAsia="Times New Roman" w:cs="Arial"/>
          <w:b/>
          <w:b/>
          <w:bCs/>
          <w:iCs/>
          <w:color w:val="69BE28"/>
          <w:spacing w:val="10"/>
          <w:kern w:val="2"/>
          <w:sz w:val="24"/>
          <w:szCs w:val="22"/>
          <w:lang w:val="en-GB" w:eastAsia="en-US" w:bidi="ar-SA"/>
        </w:rPr>
      </w:pPr>
      <w:r>
        <w:rPr>
          <w:rFonts w:eastAsia="Times New Roman" w:cs="Arial"/>
          <w:b w:val="false"/>
          <w:bCs w:val="false"/>
          <w:i w:val="false"/>
          <w:iCs/>
          <w:caps w:val="false"/>
          <w:smallCaps w:val="false"/>
          <w:color w:val="000000"/>
          <w:spacing w:val="10"/>
          <w:kern w:val="2"/>
          <w:sz w:val="20"/>
          <w:szCs w:val="20"/>
          <w:lang w:val="en-GB" w:eastAsia="en-US" w:bidi="ar-SA"/>
        </w:rPr>
        <w:t>Vulnerabilities with a higher potential impact are typically considered more severe and are given a higher priority for remediation.</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t>{{risk_summary}}</w:t>
      </w:r>
    </w:p>
    <w:p>
      <w:pPr>
        <w:pStyle w:val="DDBodyText"/>
        <w:rPr/>
      </w:pPr>
      <w:r>
        <w:rPr/>
        <w:t>{{ risk_breakdown }}</w:t>
      </w:r>
      <w:r>
        <w:br w:type="page"/>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rFonts w:eastAsia="Times New Roman" w:cs="Arial"/>
          <w:b/>
          <w:b/>
          <w:bCs/>
          <w:iCs/>
          <w:color w:val="69BE28"/>
          <w:spacing w:val="10"/>
          <w:kern w:val="2"/>
          <w:sz w:val="24"/>
          <w:szCs w:val="22"/>
          <w:lang w:val="en-GB" w:eastAsia="en-US" w:bidi="ar-SA"/>
        </w:rPr>
      </w:pPr>
      <w:r>
        <w:rPr/>
        <w:t xml:space="preserve">In the context of vulnerabilities, a host refers to a computer, device, or network that is connected to the internet or another network and is potentially vulnerable to attack. </w:t>
      </w:r>
    </w:p>
    <w:p>
      <w:pPr>
        <w:pStyle w:val="DDBodyText"/>
        <w:rPr/>
      </w:pPr>
      <w:r>
        <w:rPr/>
        <w:t>{{ host_risk_summary }}</w:t>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rFonts w:eastAsia="Times New Roman" w:cs="Arial"/>
          <w:b/>
          <w:b/>
          <w:bCs/>
          <w:iCs/>
          <w:color w:val="69BE28"/>
          <w:spacing w:val="10"/>
          <w:kern w:val="2"/>
          <w:sz w:val="24"/>
          <w:szCs w:val="22"/>
          <w:lang w:val="en-GB" w:eastAsia="en-US" w:bidi="ar-SA"/>
        </w:rPr>
      </w:pPr>
      <w:r>
        <w:rPr/>
        <w:t xml:space="preserve">The frequency of vulnerabilities refers to how often new vulnerabilities are discovered in systems, applications, or networks. </w:t>
      </w:r>
    </w:p>
    <w:p>
      <w:pPr>
        <w:pStyle w:val="DDBodyText"/>
        <w:rPr/>
      </w:pPr>
      <w:r>
        <w:rPr/>
        <w:t>{{ name_synopsis }}</w:t>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 xml:space="preserve">Critical vulnerabilities are vulnerabilities that have the potential to cause significant damage to an organization's assets or compromise the confidentiality, integrity, or availability of sensitive information. </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These types of vulnerabilities are typically considered the most serious and should be prioritized for remediation as soon as possible.</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 critical_synopsis }}</w:t>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Summary Findings</w:t>
      </w:r>
      <w:bookmarkEnd w:id="42"/>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4"/>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8333" w:type="dxa"/>
            <w:gridSpan w:val="5"/>
            <w:tcBorders>
              <w:top w:val="single" w:sz="12" w:space="0" w:color="69BE28"/>
              <w:bottom w:val="single" w:sz="2" w:space="0" w:color="455565"/>
            </w:tcBorders>
            <w:shd w:color="auto" w:fill="auto" w:val="clear"/>
            <w:vAlign w:val="center"/>
          </w:tcPr>
          <w:p>
            <w:pPr>
              <w:pStyle w:val="DDTableBodyText"/>
              <w:widowControl w:val="false"/>
              <w:spacing w:before="60" w:after="60"/>
              <w:rPr>
                <w:color w:val="4472C4"/>
              </w:rPr>
            </w:pPr>
            <w:r>
              <w:rPr>
                <w:color w:val="4472C4"/>
              </w:rPr>
              <w:t>{%tr for item, item_group in conn.hosts|groupby(‘hostname’)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t>{{ item }}</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item_group|sum(attribute='critical') }}</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item_group|sum(attribute='high') }}</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item_group|sum(attribute='medium') }}</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item_group|sum(attribute='low') }}</w:t>
            </w:r>
          </w:p>
        </w:tc>
      </w:tr>
      <w:tr>
        <w:trPr>
          <w:trHeight w:val="360" w:hRule="atLeast"/>
          <w:cantSplit w:val="true"/>
        </w:trPr>
        <w:tc>
          <w:tcPr>
            <w:tcW w:w="8333" w:type="dxa"/>
            <w:gridSpan w:val="5"/>
            <w:tcBorders>
              <w:top w:val="single" w:sz="2" w:space="0" w:color="455565"/>
              <w:bottom w:val="single" w:sz="2" w:space="0" w:color="455565"/>
            </w:tcBorders>
            <w:shd w:color="auto" w:fill="auto" w:val="clear"/>
            <w:vAlign w:val="center"/>
          </w:tcPr>
          <w:p>
            <w:pPr>
              <w:pStyle w:val="DDTableBodyText"/>
              <w:widowControl w:val="false"/>
              <w:spacing w:before="60" w:after="60"/>
              <w:rPr>
                <w:bCs/>
              </w:rPr>
            </w:pPr>
            <w:r>
              <w:rPr>
                <w:color w:val="4472C4"/>
              </w:rPr>
              <w:t>{%tr endfor %}</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{{hosts|sum(attribute='critical')}}</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{{hosts|sum(attribute='high')}}</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{{hosts|sum(attribute='medium')}}</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{{hosts|sum(attribute='low')}}</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r>
        <w:br w:type="page"/>
      </w:r>
    </w:p>
    <w:p>
      <w:pPr>
        <w:pStyle w:val="DDBodyText"/>
        <w:ind w:left="0" w:hanging="0"/>
        <w:rPr/>
      </w:pPr>
      <w:r>
        <w:rPr/>
      </w:r>
    </w:p>
    <w:p>
      <w:pPr>
        <w:pStyle w:val="Heading3"/>
        <w:numPr>
          <w:ilvl w:val="2"/>
          <w:numId w:val="25"/>
        </w:numPr>
        <w:rPr/>
      </w:pPr>
      <w:r>
        <w:rPr/>
        <w:t>Summary of Vulnerabilities</w:t>
      </w:r>
    </w:p>
    <w:p>
      <w:pPr>
        <w:pStyle w:val="DDBodyText"/>
        <w:rPr/>
      </w:pPr>
      <w:r>
        <w:rPr/>
        <w:t>This section defines the Vulnerabilities found, their count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8333" w:type="dxa"/>
            <w:gridSpan w:val="3"/>
            <w:tcBorders>
              <w:top w:val="single" w:sz="12" w:space="0" w:color="69BE28"/>
              <w:bottom w:val="single" w:sz="2" w:space="0" w:color="455565"/>
            </w:tcBorders>
            <w:shd w:color="auto" w:fill="auto" w:val="clear"/>
          </w:tcPr>
          <w:p>
            <w:pPr>
              <w:pStyle w:val="DDTableBodyText"/>
              <w:widowControl w:val="false"/>
              <w:spacing w:before="60" w:after="60"/>
              <w:rPr/>
            </w:pPr>
            <w:r>
              <w:rPr>
                <w:color w:val="4472C4"/>
              </w:rPr>
              <w:t>{%tr for a in conn.vulnerabilities%}</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if a.</w:t>
            </w:r>
            <w:r>
              <w:rPr>
                <w:rFonts w:eastAsia="Calibri" w:ascii="Calibri" w:hAnsi="Calibri"/>
                <w:color w:val="auto"/>
                <w:lang w:val="en-IN"/>
              </w:rPr>
              <w:t xml:space="preserve"> </w:t>
            </w:r>
            <w:r>
              <w:rPr>
                <w:rFonts w:eastAsia="Calibri" w:ascii="Calibri" w:hAnsi="Calibri"/>
                <w:color w:val="4472C4"/>
                <w:lang w:val="en-IN"/>
              </w:rPr>
              <w:t xml:space="preserve">score!= None </w:t>
            </w:r>
            <w:r>
              <w:rPr>
                <w:color w:val="4472C4"/>
              </w:rPr>
              <w:t>%}</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a.</w:t>
            </w:r>
            <w:r>
              <w:rPr>
                <w:rFonts w:eastAsia="Calibri" w:ascii="Calibri" w:hAnsi="Calibri"/>
                <w:color w:val="auto"/>
                <w:lang w:val="en-IN"/>
              </w:rPr>
              <w:t xml:space="preserve"> </w:t>
            </w:r>
            <w:r>
              <w:rPr>
                <w:color w:val="auto"/>
              </w:rPr>
              <w:t>plugin_name}}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a.count }}</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if a.score &gt;= “9.0” %}</w:t>
            </w:r>
            <w:r>
              <w:rPr>
                <w:bCs/>
                <w:color w:val="FF0000"/>
              </w:rPr>
              <w:t xml:space="preserve"> </w:t>
            </w:r>
            <w:r>
              <w:rPr>
                <w:color w:val="7030A0"/>
              </w:rPr>
              <w:t>Critical</w:t>
            </w:r>
            <w:r>
              <w:rPr>
                <w:color w:val="FF0000"/>
              </w:rPr>
              <w:t xml:space="preserve"> </w:t>
            </w:r>
            <w:r>
              <w:rPr>
                <w:color w:val="auto"/>
              </w:rPr>
              <w:t>{% elif a.score &gt;= “7.0” &lt; “9.0” %}</w:t>
            </w:r>
            <w:r>
              <w:rPr>
                <w:bCs/>
                <w:color w:val="FF0000"/>
              </w:rPr>
              <w:t xml:space="preserve"> </w:t>
            </w:r>
            <w:r>
              <w:rPr>
                <w:color w:val="FF0000"/>
              </w:rPr>
              <w:t xml:space="preserve">High </w:t>
            </w:r>
            <w:r>
              <w:rPr>
                <w:color w:val="auto"/>
              </w:rPr>
              <w:t xml:space="preserve">{% elif a.score &gt;= “4.0” &lt; “7.0” %} </w:t>
            </w:r>
            <w:r>
              <w:rPr>
                <w:color w:val="FFC000"/>
              </w:rPr>
              <w:t xml:space="preserve">Medium </w:t>
            </w:r>
            <w:r>
              <w:rPr>
                <w:color w:val="auto"/>
              </w:rPr>
              <w:t xml:space="preserve">{% elif a.score &gt;= ”1.0” &lt; “4.0” %} </w:t>
            </w:r>
            <w:r>
              <w:rPr>
                <w:color w:val="00B050"/>
              </w:rPr>
              <w:t xml:space="preserve">Low </w:t>
            </w:r>
            <w:r>
              <w:rPr>
                <w:color w:val="auto"/>
              </w:rPr>
              <w:t>{%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color w:val="4472C4"/>
              </w:rPr>
            </w:pPr>
            <w:r>
              <w:rPr>
                <w:color w:val="4472C4"/>
              </w:rPr>
              <w:t>{%tr endif %}</w:t>
            </w:r>
          </w:p>
        </w:tc>
      </w:tr>
      <w:tr>
        <w:trPr>
          <w:trHeight w:val="288" w:hRule="atLeast"/>
          <w:cantSplit w:val="true"/>
        </w:trPr>
        <w:tc>
          <w:tcPr>
            <w:tcW w:w="8333" w:type="dxa"/>
            <w:gridSpan w:val="3"/>
            <w:tcBorders>
              <w:top w:val="single" w:sz="2" w:space="0" w:color="455565"/>
              <w:bottom w:val="single" w:sz="2" w:space="0" w:color="455565"/>
            </w:tcBorders>
            <w:shd w:color="auto" w:fill="auto" w:val="clear"/>
          </w:tcPr>
          <w:p>
            <w:pPr>
              <w:pStyle w:val="DDTableBodyText"/>
              <w:widowControl w:val="false"/>
              <w:spacing w:before="60" w:after="60"/>
              <w:rPr>
                <w:rFonts w:ascii="Times New Roman" w:hAnsi="Times New Roman" w:cs="Times New Roman"/>
                <w:bCs/>
                <w:color w:val="auto"/>
              </w:rPr>
            </w:pPr>
            <w:r>
              <w:rPr>
                <w:color w:val="4472C4"/>
              </w:rPr>
              <w:t>{%tr endfor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6"/>
        </w:numPr>
        <w:rPr/>
      </w:pPr>
      <w:r>
        <w:rPr/>
        <w:t>Prioritizations</w:t>
      </w:r>
    </w:p>
    <w:p>
      <w:pPr>
        <w:pStyle w:val="DDBodyText"/>
        <w:rPr/>
      </w:pPr>
      <w:r>
        <w:rPr/>
        <w:t>This section indicates which vulnerabilities on which asset poses the greatest risk to {{ conn.info.name }} We recommend that they are addressed first to address the highest risks.</w:t>
      </w:r>
    </w:p>
    <w:p>
      <w:pPr>
        <w:pStyle w:val="DDBodyText"/>
        <w:rPr/>
      </w:pPr>
      <w:r>
        <w:rPr/>
        <w:t xml:space="preserve">The following factors have been </w:t>
      </w:r>
      <w:r>
        <w:rPr>
          <w:rFonts w:eastAsia="Times New Roman" w:cs="Arial"/>
          <w:b w:val="false"/>
          <w:i w:val="false"/>
          <w:caps w:val="false"/>
          <w:smallCaps w:val="false"/>
          <w:color w:val="000000"/>
          <w:spacing w:val="10"/>
          <w:kern w:val="2"/>
          <w:sz w:val="20"/>
          <w:szCs w:val="20"/>
          <w:lang w:val="en-GB" w:eastAsia="en-US" w:bidi="ar-SA"/>
        </w:rPr>
        <w:t xml:space="preserve"> taken into consideration when prioritizing vulnerabilities:</w:t>
      </w:r>
    </w:p>
    <w:p>
      <w:pPr>
        <w:pStyle w:val="DDTableBodyText"/>
        <w:numPr>
          <w:ilvl w:val="0"/>
          <w:numId w:val="18"/>
        </w:numPr>
        <w:rPr/>
      </w:pPr>
      <w:r>
        <w:rPr/>
        <w:t xml:space="preserve">The severity of the vulnerability </w:t>
        <w:tab/>
      </w:r>
    </w:p>
    <w:p>
      <w:pPr>
        <w:pStyle w:val="DDTableBodyText"/>
        <w:numPr>
          <w:ilvl w:val="0"/>
          <w:numId w:val="18"/>
        </w:numPr>
        <w:rPr/>
      </w:pPr>
      <w:r>
        <w:rPr/>
        <w:t>The complexity of the vulnerability</w:t>
      </w:r>
    </w:p>
    <w:p>
      <w:pPr>
        <w:pStyle w:val="DDTableBodyText"/>
        <w:numPr>
          <w:ilvl w:val="0"/>
          <w:numId w:val="18"/>
        </w:numPr>
        <w:rPr/>
      </w:pPr>
      <w:r>
        <w:rPr/>
        <w:t>The availability of a fix or workaround</w:t>
      </w:r>
    </w:p>
    <w:p>
      <w:pPr>
        <w:pStyle w:val="DDTableBodyText"/>
        <w:numPr>
          <w:ilvl w:val="0"/>
          <w:numId w:val="18"/>
        </w:numPr>
        <w:rPr/>
      </w:pPr>
      <w:r>
        <w:rPr/>
        <w:t>The potential for damage</w:t>
      </w:r>
    </w:p>
    <w:p>
      <w:pPr>
        <w:pStyle w:val="DDTableBodyText"/>
        <w:numPr>
          <w:ilvl w:val="0"/>
          <w:numId w:val="0"/>
        </w:numPr>
        <w:ind w:left="1440" w:hanging="0"/>
        <w:rPr/>
      </w:pPr>
      <w:r>
        <w:rPr/>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bottom w:val="single" w:sz="12" w:space="0" w:color="69BE28"/>
            </w:tcBorders>
            <w:shd w:color="auto" w:fill="auto" w:val="clear"/>
          </w:tcPr>
          <w:p>
            <w:pPr>
              <w:pStyle w:val="DDTableGreenHeader"/>
              <w:widowControl w:val="false"/>
              <w:spacing w:before="120" w:after="120"/>
              <w:rPr/>
            </w:pPr>
            <w:r>
              <w:rPr/>
              <w:t>{%tr for a in conn.prioritization.plugins%}</w:t>
            </w:r>
          </w:p>
          <w:p>
            <w:pPr>
              <w:pStyle w:val="DDTableGreenHeader"/>
              <w:widowControl w:val="false"/>
              <w:spacing w:before="120" w:after="120"/>
              <w:rPr/>
            </w:pPr>
            <w:r>
              <w:rPr/>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a.pluginname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a.pluginattributes.risk_information.cvss_base_score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‘High’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a.pluginattributes.risk_information.risk_factor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4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‘Critical’ %}</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7030A0"/>
              </w:rPr>
            </w:pPr>
            <w:r>
              <w:rPr>
                <w:color w:val="7030A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‘Medium’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a.pluginattributes.risk_information.risk_factor }}</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if  a.pluginattributes.risk_information.risk_factor  == ‘Low’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 a.pluginattributes.risk_information.risk_factor }}</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31F20" w:themeColor="text1"/>
              </w:rPr>
            </w:pPr>
            <w:r>
              <w:rPr>
                <w:color w:val="231F20" w:themeColor="text1"/>
              </w:rPr>
              <w:t>{%tr endif%}</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tc>
        <w:tc>
          <w:tcPr>
            <w:tcW w:w="1582" w:type="dxa"/>
            <w:vMerge w:val="restart"/>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t>{%tr if  a.pluginattributes.vuln_information %}</w:t>
            </w:r>
          </w:p>
        </w:tc>
      </w:tr>
      <w:tr>
        <w:trPr>
          <w:trHeight w:val="288" w:hRule="atLeast"/>
          <w:cantSplit w:val="true"/>
        </w:trPr>
        <w:tc>
          <w:tcPr>
            <w:tcW w:w="1860" w:type="dxa"/>
            <w:vMerge w:val="restart"/>
            <w:tcBorders>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vMerge w:val="continue"/>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r>
          </w:p>
        </w:tc>
        <w:tc>
          <w:tcPr>
            <w:tcW w:w="4703" w:type="dxa"/>
            <w:tcBorders>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a.pluginattributes.vuln_information.exploitability_ease }} </w:t>
            </w:r>
          </w:p>
          <w:p>
            <w:pPr>
              <w:pStyle w:val="DDTableBodyText"/>
              <w:widowControl w:val="false"/>
              <w:spacing w:before="60" w:after="60"/>
              <w:rPr>
                <w:color w:val="24292F"/>
                <w:lang w:val="fr-FR"/>
              </w:rPr>
            </w:pPr>
            <w:r>
              <w:rPr/>
              <w:t>{%tr else %}</w:t>
            </w:r>
          </w:p>
          <w:p>
            <w:pPr>
              <w:pStyle w:val="DDTableBodyText"/>
              <w:widowControl w:val="false"/>
              <w:spacing w:before="60" w:after="60"/>
              <w:rPr>
                <w:color w:val="24292F"/>
                <w:lang w:val="fr-FR"/>
              </w:rPr>
            </w:pPr>
            <w:r>
              <w:rPr/>
              <w:t xml:space="preserve">    </w:t>
            </w:r>
            <w:r>
              <w:rPr/>
              <w:t>Exploitability Ease: Not available</w:t>
            </w:r>
          </w:p>
        </w:tc>
      </w:tr>
      <w:tr>
        <w:trPr>
          <w:trHeight w:val="288" w:hRule="atLeast"/>
          <w:cantSplit w:val="true"/>
        </w:trPr>
        <w:tc>
          <w:tcPr>
            <w:tcW w:w="1860" w:type="dxa"/>
            <w:vMerge w:val="continue"/>
            <w:tcBorders>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tc>
        <w:tc>
          <w:tcPr>
            <w:tcW w:w="1582" w:type="dxa"/>
            <w:vMerge w:val="continue"/>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r>
          </w:p>
        </w:tc>
        <w:tc>
          <w:tcPr>
            <w:tcW w:w="4703" w:type="dxa"/>
            <w:tcBorders>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{%tr endif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r>
          </w:p>
          <w:p>
            <w:pPr>
              <w:pStyle w:val="DDTableBodyText"/>
              <w:widowControl w:val="false"/>
              <w:spacing w:before="60" w:after="60"/>
              <w:rPr>
                <w:color w:val="24292F"/>
              </w:rPr>
            </w:pPr>
            <w:r>
              <w:rPr>
                <w:color w:val="24292F"/>
              </w:rPr>
              <w:t xml:space="preserve">Exploited by malware:  </w:t>
            </w:r>
            <w:r>
              <w:rPr>
                <w:b/>
                <w:bCs/>
                <w:color w:val="24292F"/>
              </w:rPr>
              <w:t>{{ a.pluginattributes.exploited_by_malware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for item in a.hosts %} {{ item.hostname }} {% endfor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a.pluginattributes.synopsis }}</w:t>
            </w:r>
          </w:p>
        </w:tc>
      </w:tr>
      <w:tr>
        <w:trPr>
          <w:trHeight w:val="565"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a.pluginattributes.solution }}</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a.pluginattributes.cvss_score_source }}</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for url in a.pluginattributes.see_also %} {{ url }} {% endfor %}</w:t>
            </w:r>
          </w:p>
        </w:tc>
      </w:tr>
      <w:tr>
        <w:trPr>
          <w:trHeight w:val="288" w:hRule="atLeast"/>
          <w:cantSplit w:val="true"/>
        </w:trPr>
        <w:tc>
          <w:tcPr>
            <w:tcW w:w="1860" w:type="dxa"/>
            <w:tcBorders>
              <w:top w:val="single" w:sz="2" w:space="0" w:color="455565"/>
              <w:bottom w:val="single" w:sz="2" w:space="0" w:color="455565"/>
            </w:tcBorders>
            <w:shd w:color="auto" w:fill="auto" w:val="clear"/>
          </w:tcPr>
          <w:p>
            <w:pPr>
              <w:pStyle w:val="DDTableBodyText"/>
              <w:widowControl w:val="false"/>
              <w:spacing w:before="60" w:after="60"/>
              <w:rPr/>
            </w:pPr>
            <w:r>
              <w:rPr/>
              <w:t>{%tr endfor %}</w:t>
            </w:r>
          </w:p>
        </w:tc>
        <w:tc>
          <w:tcPr>
            <w:tcW w:w="1582" w:type="dxa"/>
            <w:tcBorders/>
            <w:tcMar>
              <w:top w:w="15" w:type="dxa"/>
              <w:left w:w="15" w:type="dxa"/>
              <w:bottom w:w="15" w:type="dxa"/>
              <w:right w:w="15" w:type="dxa"/>
            </w:tcMar>
          </w:tcPr>
          <w:p>
            <w:pPr>
              <w:pStyle w:val="Normal"/>
              <w:widowControl w:val="false"/>
              <w:spacing w:before="60" w:after="60"/>
              <w:rPr/>
            </w:pPr>
            <w:r>
              <w:rPr/>
            </w:r>
          </w:p>
        </w:tc>
        <w:tc>
          <w:tcPr>
            <w:tcW w:w="4703" w:type="dxa"/>
            <w:tcBorders/>
            <w:tcMar>
              <w:top w:w="15" w:type="dxa"/>
              <w:left w:w="15" w:type="dxa"/>
              <w:bottom w:w="15" w:type="dxa"/>
              <w:right w:w="15" w:type="dxa"/>
            </w:tcMar>
          </w:tcPr>
          <w:p>
            <w:pPr>
              <w:pStyle w:val="Normal"/>
              <w:widowControl w:val="false"/>
              <w:spacing w:before="60" w:after="60"/>
              <w:rPr/>
            </w:pPr>
            <w:r>
              <w:rPr/>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7"/>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8"/>
        </w:numPr>
        <w:ind w:left="1984" w:hanging="1984"/>
        <w:rPr/>
      </w:pPr>
      <w:r>
        <w:rPr/>
        <w:t>VA Report</w:t>
      </w:r>
      <w:bookmarkStart w:id="48" w:name="_Toc356312917"/>
      <w:bookmarkStart w:id="49" w:name="_Toc356312919"/>
      <w:bookmarkStart w:id="50" w:name="_Toc373248050"/>
      <w:bookmarkStart w:id="51" w:name="_Toc381365461"/>
      <w:bookmarkStart w:id="52" w:name="_Toc52367336"/>
      <w:bookmarkStart w:id="53" w:name="_Toc52443088"/>
      <w:bookmarkStart w:id="54" w:name="_Toc53397165"/>
      <w:bookmarkStart w:id="55" w:name="_Toc53474578"/>
      <w:bookmarkStart w:id="56" w:name="_Toc53557896"/>
      <w:bookmarkStart w:id="57" w:name="_Toc55307224"/>
      <w:bookmarkStart w:id="58" w:name="_Toc56070441"/>
      <w:bookmarkStart w:id="59" w:name="_Toc56770619"/>
      <w:bookmarkStart w:id="60" w:name="_Toc56775934"/>
      <w:bookmarkStart w:id="61" w:name="_Toc57627017"/>
      <w:bookmarkStart w:id="62" w:name="_Toc115681500"/>
      <w:r>
        <w:rPr/>
        <w:t xml:space="preserve"> 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VA Report for the </w:t>
      </w:r>
      <w:r>
        <w:rPr>
          <w:rFonts w:eastAsia="Times New Roman"/>
          <w:lang w:val="en-US" w:eastAsia="en-GB" w:bidi="ar-SA"/>
        </w:rPr>
        <w:t xml:space="preserve">{{ conn.info.name }} </w:t>
      </w:r>
      <w:r>
        <w:rPr/>
        <w:t>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VA Report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swiss"/>
    <w:pitch w:val="default"/>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2022</w:t>
      <w:br/>
    </w:r>
    <w:r>
      <mc:AlternateContent>
        <mc:Choice Requires="wps">
          <w:drawing>
            <wp:anchor behindDoc="1" distT="0" distB="0" distL="0" distR="0" simplePos="0" locked="0" layoutInCell="0" allowOverlap="1" relativeHeight="29">
              <wp:simplePos x="0" y="0"/>
              <wp:positionH relativeFrom="rightMargin">
                <wp:posOffset>-1008380</wp:posOffset>
              </wp:positionH>
              <wp:positionV relativeFrom="bottomMargin">
                <wp:posOffset>0</wp:posOffset>
              </wp:positionV>
              <wp:extent cx="1080135" cy="252095"/>
              <wp:effectExtent l="0" t="0" r="0" b="0"/>
              <wp:wrapNone/>
              <wp:docPr id="4"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3</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15</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3</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15</w:t>
                    </w:r>
                    <w:r>
                      <w:rPr>
                        <w:color w:val="231F20"/>
                      </w:rPr>
                      <w:fldChar w:fldCharType="end"/>
                    </w:r>
                  </w:p>
                </w:txbxContent>
              </v:textbox>
              <w10:wrap type="none"/>
            </v:rect>
          </w:pict>
        </mc:Fallback>
      </mc:AlternateContent>
      <w:drawing>
        <wp:anchor behindDoc="1" distT="0" distB="0" distL="0" distR="0" simplePos="0" locked="0" layoutInCell="0" allowOverlap="1" relativeHeight="44">
          <wp:simplePos x="0" y="0"/>
          <wp:positionH relativeFrom="page">
            <wp:align>right</wp:align>
          </wp:positionH>
          <wp:positionV relativeFrom="page">
            <wp:align>bottom</wp:align>
          </wp:positionV>
          <wp:extent cx="2628265" cy="647700"/>
          <wp:effectExtent l="0" t="0" r="0" b="0"/>
          <wp:wrapNone/>
          <wp:docPr id="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date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r>
      <w:rPr/>
      <w:t>{{ month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decimal"/>
      <w:lvlText w:val="%1."/>
      <w:lvlJc w:val="left"/>
      <w:pPr>
        <w:tabs>
          <w:tab w:val="num" w:pos="1440"/>
        </w:tabs>
        <w:ind w:left="1440" w:hanging="360"/>
      </w:pPr>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num>
  <w:num w:numId="25">
    <w:abstractNumId w:val="17"/>
  </w:num>
  <w:num w:numId="26">
    <w:abstractNumId w:val="17"/>
  </w:num>
  <w:num w:numId="27">
    <w:abstractNumId w:val="17"/>
  </w:num>
  <w:num w:numId="28">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308</TotalTime>
  <Application>LibreOffice/7.4.3.2$Linux_X86_64 LibreOffice_project/40$Build-2</Application>
  <AppVersion>15.0000</AppVersion>
  <Pages>15</Pages>
  <Words>1800</Words>
  <Characters>10808</Characters>
  <CharactersWithSpaces>12355</CharactersWithSpaces>
  <Paragraphs>252</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2022-12-31T19:58:29Z</dcterms:modified>
  <cp:revision>82</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