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E39FACA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51BFC289" w:rsidR="0081685D" w:rsidRPr="0081685D" w:rsidRDefault="0081685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sz w:val="20"/>
                <w:szCs w:val="20"/>
              </w:rPr>
              <w:t>Видеокамера высокоско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ростная, MIRO C320,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Phanto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m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D33896F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13F41C1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Краткое описание</w:t>
            </w:r>
          </w:p>
          <w:p w14:paraId="31A7BCEC" w14:textId="6FAC7F99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Компактная, легкая и прочная камера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Miro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C320. При максимальном 2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Мпикс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разрешении 1920 х 1080 скорость съемки достигает до 1 480 кадр/с. Внутренний аккумулятор защищает от случайного сбоя в сети питания в момент сохранения важной информации на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CineFlash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или ПК/Ноутбук. C320J предназначена для работы с распределительным блоком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Miro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Junction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Box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и может быть модульной.</w:t>
            </w:r>
          </w:p>
          <w:p w14:paraId="7629A001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Скорость съемки</w:t>
            </w:r>
          </w:p>
          <w:p w14:paraId="3A07934F" w14:textId="11239430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3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Гпикс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/сек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Макс. скорость съемки при полном разрешении 1920 x 1080 - 1480 кадр/с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Макс. скорость съемки при уменьшенном разрешении 640 x 8 - 94 510 кадр/с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Минимальная скорость съемки - 100 кадр/с</w:t>
            </w:r>
          </w:p>
          <w:p w14:paraId="4245527A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Характеристики сенсора</w:t>
            </w:r>
          </w:p>
          <w:p w14:paraId="7879F1ED" w14:textId="54D44D7B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Сенсор: КМОП (CMOS)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Разрешение: 1920 x 108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пикс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Размер пикселя: 10 мкм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Размер сенсора: 22.03 мм (диагональ)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Динамический диапазон: 10-бит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Чувствительность: ISO Монохромная 10,000 D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Чувствительность: ISO Цветная 2,000 D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Шаг изменения разрешения: 640 x 8</w:t>
            </w:r>
          </w:p>
          <w:p w14:paraId="7943089B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Экспозиция</w:t>
            </w:r>
          </w:p>
          <w:p w14:paraId="682CAC58" w14:textId="73DD44B4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Минимальная экспозиция: 1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мкс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Автоэкспозиция</w:t>
            </w:r>
            <w:proofErr w:type="spellEnd"/>
          </w:p>
          <w:p w14:paraId="14DC8CDB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Длительность записи</w:t>
            </w:r>
          </w:p>
          <w:p w14:paraId="6C14672D" w14:textId="15C01FD3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4.4 секунды записи при максимальных параметрах съемки и объеме памяти</w:t>
            </w:r>
          </w:p>
          <w:p w14:paraId="65C71D56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Особенности</w:t>
            </w:r>
            <w:bookmarkStart w:id="0" w:name="_GoBack"/>
            <w:bookmarkEnd w:id="0"/>
          </w:p>
          <w:p w14:paraId="22BD4CFA" w14:textId="1A801FC0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Сегментация встроенной памяти до 63 участков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Автоматический триггер по изображению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Непрерывная запись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Memory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gate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(сигнал на запись в память)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Маркировка событий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Временная отметка кадра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IRIG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Вх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Вых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(модулированный и немодулированный)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IRIG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Вых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(немодулированный)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Дополнительный назначаемый IP адрес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Простое обновление прошивки камеры</w:t>
            </w:r>
          </w:p>
          <w:p w14:paraId="533ED967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Старт-стоп записи</w:t>
            </w:r>
          </w:p>
          <w:p w14:paraId="2D27224E" w14:textId="270DD4F4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Программируемое положение триггера (по началу/концу и др.)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Триггер по изображению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Триггер-кнопка в ПО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Триггер от внешних устройств (TTL, сухой контакт)</w:t>
            </w:r>
          </w:p>
          <w:p w14:paraId="515BD4AA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Синхронизация</w:t>
            </w:r>
          </w:p>
          <w:p w14:paraId="4AFA5ECA" w14:textId="58432F00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20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нс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- точность синхронизации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Синхронизация кадров FSYNC (внутренняя/внешняя)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IRIG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Вх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(модулированный и немодулированный)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IRIG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Вых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(немодулированный)</w:t>
            </w:r>
          </w:p>
          <w:p w14:paraId="02134DD8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Сигналы</w:t>
            </w:r>
          </w:p>
          <w:p w14:paraId="399DFE82" w14:textId="4EBA4331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Триггер, IRIG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Вх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, IRIG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Вых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Ready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Aux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Ethernet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(сигнал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Aux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назначаемый - Событие,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Memgate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или FSYNC)</w:t>
            </w:r>
          </w:p>
          <w:p w14:paraId="7D398D0E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Подключение/Передача данных</w:t>
            </w:r>
          </w:p>
          <w:p w14:paraId="23E53C09" w14:textId="408B17DB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Gb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Ethernet</w:t>
            </w:r>
            <w:proofErr w:type="spellEnd"/>
          </w:p>
          <w:p w14:paraId="2C3CF91E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Управление камерой</w:t>
            </w:r>
          </w:p>
          <w:p w14:paraId="3A2DB131" w14:textId="471A562D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Программное обеспечение -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Phantom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Camera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Control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(PCC)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Программа -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Multi-Cam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Пульт дистанционного управления (ПДУ): камеры C210J и C210 имеют разъем для подключения ПДУ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SDK</w:t>
            </w:r>
          </w:p>
          <w:p w14:paraId="05F36E9C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Видеовыход</w:t>
            </w:r>
          </w:p>
          <w:p w14:paraId="66E706EC" w14:textId="49D97681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HD-SDI (через переходник)</w:t>
            </w:r>
          </w:p>
          <w:p w14:paraId="48018B0A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Крепление оптики</w:t>
            </w:r>
          </w:p>
          <w:p w14:paraId="7E3FC968" w14:textId="4F909B2A" w:rsid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C-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mount</w:t>
            </w:r>
            <w:proofErr w:type="spellEnd"/>
          </w:p>
          <w:p w14:paraId="701EA59F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Обработка видео</w:t>
            </w:r>
          </w:p>
          <w:p w14:paraId="62C4B4ED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Яркость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Усиление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Гамма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Насыщенность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Hue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Баланс белого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Цветовой интерполяционный алгоритм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Flare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Pedestal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Тоновая кривая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Фильтры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Изменение цветовых настроек матрицы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Зеркальное отображение и вращение изображения в ПО PCC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Изменение размеров изображения и разрешения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Масштабирование</w:t>
            </w:r>
          </w:p>
          <w:p w14:paraId="2F5DE528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Сбор данных</w:t>
            </w:r>
          </w:p>
          <w:p w14:paraId="402CE914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Интеграция сигналов в программное обеспечение PCC c внешних модулей данных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National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Instruments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M - и X -Серии DAQ</w:t>
            </w:r>
          </w:p>
          <w:p w14:paraId="15F66AED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Анализ движения</w:t>
            </w:r>
          </w:p>
          <w:p w14:paraId="2970C497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Основные инструменты измерения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Дистанция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Скорость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Ускорение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Углы и Угловая скорость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Ручной и автоматической сбор точек для отслеживания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Совместима со сторонними приложениями</w:t>
            </w:r>
          </w:p>
          <w:p w14:paraId="66329B10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Поддерживаемые форматы файлов</w:t>
            </w:r>
          </w:p>
          <w:p w14:paraId="3E739638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Cine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Cine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Compressed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Cine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RAW, AVI, h.264 mp4,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Apple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ProRes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.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mov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Multipage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TIFF, MXF PAL, MXF NTSC,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Uncompressed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QuickTime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Windows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BMP, OS/2 BMP, PCX, TGA, TIFF, LEAD, JPEG, JTIF, RAW, DNG, DPX</w:t>
            </w:r>
          </w:p>
          <w:p w14:paraId="7356C146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Питание</w:t>
            </w:r>
          </w:p>
          <w:p w14:paraId="62419FF3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Питание: 16 - 32 В DC, 13 Ватт, 20 Ватт при зарядке аккумулятора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Перезаряжаемый встроенный аккумулятор (от потери данных в момент сохранения)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Junction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Box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: 20 - 32 В DC, каждый порт для камеры принимает 2 AMPS</w:t>
            </w:r>
          </w:p>
          <w:p w14:paraId="0AA2217F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Габариты / Вес</w:t>
            </w:r>
          </w:p>
          <w:p w14:paraId="08EBAE0D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Габариты (без объектива): 73 x 73 x 82.5 мм (</w:t>
            </w:r>
            <w:proofErr w:type="gram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</w:t>
            </w:r>
            <w:proofErr w:type="gram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x Ш x Д)</w:t>
            </w:r>
          </w:p>
          <w:p w14:paraId="5480E2F1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Условия эксплуатации</w:t>
            </w:r>
          </w:p>
          <w:p w14:paraId="6F8F168F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Рабочая температура: от 0° до +50° C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Температура хранения: -20 до + 70 C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>Устойчивость к ударным нагрузкам:170G IAW MIL-STD 202G (без объектива)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Устойчивость к вибрациям: 24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Grms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, IAW MIL-STD 202G (без объектива)</w:t>
            </w:r>
          </w:p>
          <w:p w14:paraId="5F615213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Интерфейс прикладного программирования</w:t>
            </w:r>
          </w:p>
          <w:p w14:paraId="339692EC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Phantom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SDK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LabView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MatLab</w:t>
            </w:r>
            <w:proofErr w:type="spellEnd"/>
          </w:p>
          <w:p w14:paraId="328F306A" w14:textId="77777777" w:rsidR="0081685D" w:rsidRPr="0081685D" w:rsidRDefault="0081685D" w:rsidP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Стандартный комплект поставки</w:t>
            </w:r>
          </w:p>
          <w:p w14:paraId="0370BF96" w14:textId="0A720AD0" w:rsidR="0081685D" w:rsidRDefault="0081685D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Все кабели приобретаются отдельно</w:t>
            </w:r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Коммутационный блок: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Junction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Box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br/>
              <w:t xml:space="preserve">Программное обеспечение </w:t>
            </w:r>
            <w:proofErr w:type="spellStart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>Phantom</w:t>
            </w:r>
            <w:proofErr w:type="spellEnd"/>
            <w:r w:rsidRPr="0081685D">
              <w:rPr>
                <w:rFonts w:asciiTheme="majorHAnsi" w:hAnsiTheme="majorHAnsi" w:cstheme="majorHAnsi"/>
                <w:sz w:val="20"/>
                <w:szCs w:val="20"/>
              </w:rPr>
              <w:t xml:space="preserve"> PCC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6BEF89CA" w:rsidR="00DD0F0E" w:rsidRPr="0081685D" w:rsidRDefault="0081685D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0B357E2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2CD4AA41" w:rsidR="0081685D" w:rsidRDefault="008168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5327F7A1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09A15944" w:rsidR="0081685D" w:rsidRDefault="0081685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0F1BA003" w14:textId="77777777" w:rsidR="00DD0F0E" w:rsidRDefault="0081685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съемка. Волков Илья Николаевич</w:t>
            </w:r>
          </w:p>
          <w:p w14:paraId="05946C62" w14:textId="77777777" w:rsidR="0081685D" w:rsidRDefault="0081685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0D55442A" w:rsidR="0081685D" w:rsidRDefault="0081685D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F16FC7" wp14:editId="053A1916">
                  <wp:extent cx="2041452" cy="1563643"/>
                  <wp:effectExtent l="0" t="0" r="0" b="0"/>
                  <wp:docPr id="2" name="Рисунок 2" descr="https://www.phantomhs.ru/upload/iblock/dd6/c320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phantomhs.ru/upload/iblock/dd6/c320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355" cy="1575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503785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0BEFD" w14:textId="77777777" w:rsidR="00503785" w:rsidRDefault="00503785">
      <w:pPr>
        <w:spacing w:after="0" w:line="240" w:lineRule="auto"/>
      </w:pPr>
      <w:r>
        <w:separator/>
      </w:r>
    </w:p>
  </w:endnote>
  <w:endnote w:type="continuationSeparator" w:id="0">
    <w:p w14:paraId="5BFFB981" w14:textId="77777777" w:rsidR="00503785" w:rsidRDefault="0050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63FE5" w14:textId="77777777" w:rsidR="00503785" w:rsidRDefault="00503785">
      <w:pPr>
        <w:spacing w:after="0" w:line="240" w:lineRule="auto"/>
      </w:pPr>
      <w:r>
        <w:separator/>
      </w:r>
    </w:p>
  </w:footnote>
  <w:footnote w:type="continuationSeparator" w:id="0">
    <w:p w14:paraId="3BDE44FF" w14:textId="77777777" w:rsidR="00503785" w:rsidRDefault="00503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03785"/>
    <w:rsid w:val="005D70AB"/>
    <w:rsid w:val="00601E60"/>
    <w:rsid w:val="006C4FA2"/>
    <w:rsid w:val="0081685D"/>
    <w:rsid w:val="00851139"/>
    <w:rsid w:val="00887866"/>
    <w:rsid w:val="0096747F"/>
    <w:rsid w:val="00A2354B"/>
    <w:rsid w:val="00B35F2B"/>
    <w:rsid w:val="00B501BF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357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00756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629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4035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8200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1961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5892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6243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451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83686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2140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7311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6082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4485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4869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3409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8659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54294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0660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6903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9978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5131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6908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691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5727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0484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2700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4824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556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4689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8243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3600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6334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2041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260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857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3096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3392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1930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4778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43597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6766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2293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3599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598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3189">
          <w:marLeft w:val="0"/>
          <w:marRight w:val="0"/>
          <w:marTop w:val="0"/>
          <w:marBottom w:val="0"/>
          <w:divBdr>
            <w:top w:val="single" w:sz="6" w:space="19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2024-09-04T12:36:00Z</dcterms:modified>
</cp:coreProperties>
</file>