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KEGG Pathways with Significant Changes in number of unique KEGG Orthologs across Anthazoan Tree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/w:tcPr><w:p><w:pPr><w:spacing w:before="0" w:after="60"></w:spacing><w:keepNext></w:keepNext><w:jc w:val="start"></w:jc></w:pPr><w:r><w:rPr><w:rFonts w:ascii="Calibri" w:hAnsi="Calibri"></w:rFonts><w:sz w:val="20"></w:sz></w:rPr><w:t xml:space="default">Major KEGG Category</w:t></w:r></w:p></w:tc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Minor KEGG Category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KEGG Pathway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p-value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Cellular Processes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Cell motility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Bacterial chemotaxis (map02030)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Environmental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Membrane transport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ABC transporters (map02010)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0.010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Environmental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Membrane transport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Bacterial secretion system (map03070)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0.014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Environmental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Signal transduction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MAPK signaling pathway (map04010)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0.014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Environmental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Signal transduction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MAPK signaling pathway - fly (map04013)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0.037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Environmental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Signal transduction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Notch signaling pathway (map04330)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0.009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Environmental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Signal transduction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Two-component system (map02020)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0.011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Genetic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Replication and repair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Nucleotide excision repair (map03420)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0.036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Genetic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Transcription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RNA polymerase (map03020)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Genetic Information Processing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Translation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Ribosome (map03010)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0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Amino acid 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Lysine biosynthesis (map00300)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0.021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Carbohydrate 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Ascorbate and aldarate metabolism (map00053)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0.029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Carbohydrate 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Butanoate metabolism (map00650)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0.036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Lipid 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Fatty acid degradation (map00071)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0.029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Metabolism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Metabolism of other amino acids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beta-Alanine metabolism (map00410)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0.022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Organismal Systems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Immune system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Toll-like receptor signaling pathway (map04620)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0.048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Organismal Systems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Nervous system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Retrograde endocannabinoid signaling (map04723)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0.003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2023-05-19T17:03:26Z</dcterms:created>
  <dcterms:modified xsi:type="dcterms:W3CDTF">2023-05-19T17:03:26Z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