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2339" w14:textId="237BAD9F" w:rsidR="00405B61" w:rsidRPr="00D02C43" w:rsidRDefault="00405B61" w:rsidP="00405B61">
      <w:pPr>
        <w:pStyle w:val="Title"/>
        <w:rPr>
          <w:sz w:val="36"/>
          <w:szCs w:val="52"/>
        </w:rPr>
      </w:pPr>
      <w:bookmarkStart w:id="0" w:name="_Hlk143687852"/>
      <w:r w:rsidRPr="00D02C43">
        <w:rPr>
          <w:rFonts w:cs="Times New Roman"/>
          <w:sz w:val="32"/>
          <w:szCs w:val="32"/>
        </w:rPr>
        <w:t>Title</w:t>
      </w:r>
      <w:r w:rsidRPr="00D02C43">
        <w:rPr>
          <w:sz w:val="36"/>
          <w:szCs w:val="52"/>
        </w:rPr>
        <w:t xml:space="preserve">: </w:t>
      </w:r>
    </w:p>
    <w:p w14:paraId="1D2610AF" w14:textId="5B3EB46F" w:rsidR="00405B61" w:rsidRPr="00D02C43" w:rsidRDefault="00405B61" w:rsidP="00405B61">
      <w:pPr>
        <w:pStyle w:val="Authors"/>
        <w:rPr>
          <w:sz w:val="22"/>
          <w:szCs w:val="22"/>
        </w:rPr>
      </w:pPr>
      <w:r w:rsidRPr="00D02C43">
        <w:rPr>
          <w:b/>
          <w:sz w:val="22"/>
          <w:szCs w:val="22"/>
        </w:rPr>
        <w:t>Authors:</w:t>
      </w:r>
      <w:r w:rsidRPr="00D02C43">
        <w:rPr>
          <w:sz w:val="22"/>
          <w:szCs w:val="22"/>
        </w:rPr>
        <w:t xml:space="preserve"> </w:t>
      </w:r>
      <w:r w:rsidR="001B448C" w:rsidRPr="00D02C43">
        <w:rPr>
          <w:sz w:val="22"/>
          <w:szCs w:val="22"/>
        </w:rPr>
        <w:t>Jason D. Selwyn</w:t>
      </w:r>
      <w:r w:rsidR="001B448C" w:rsidRPr="00D02C43">
        <w:rPr>
          <w:sz w:val="22"/>
          <w:szCs w:val="22"/>
          <w:vertAlign w:val="superscript"/>
        </w:rPr>
        <w:t>1</w:t>
      </w:r>
      <w:r w:rsidR="005348B0" w:rsidRPr="00D02C43">
        <w:rPr>
          <w:sz w:val="22"/>
          <w:szCs w:val="22"/>
          <w:vertAlign w:val="superscript"/>
        </w:rPr>
        <w:t>*</w:t>
      </w:r>
      <w:r w:rsidR="001B448C" w:rsidRPr="00D02C43">
        <w:rPr>
          <w:sz w:val="22"/>
          <w:szCs w:val="22"/>
        </w:rPr>
        <w:t xml:space="preserve">, </w:t>
      </w:r>
      <w:r w:rsidR="008503BD" w:rsidRPr="00D02C43">
        <w:rPr>
          <w:sz w:val="22"/>
          <w:szCs w:val="22"/>
          <w:highlight w:val="yellow"/>
        </w:rPr>
        <w:t>INSERT PEOPLE</w:t>
      </w:r>
      <w:r w:rsidR="001B448C" w:rsidRPr="00D02C43">
        <w:rPr>
          <w:sz w:val="22"/>
          <w:szCs w:val="22"/>
        </w:rPr>
        <w:t>, Steven V. Vollmer</w:t>
      </w:r>
      <w:r w:rsidR="001B448C" w:rsidRPr="00D02C43">
        <w:rPr>
          <w:sz w:val="22"/>
          <w:szCs w:val="22"/>
          <w:vertAlign w:val="superscript"/>
        </w:rPr>
        <w:t>1</w:t>
      </w:r>
    </w:p>
    <w:p w14:paraId="585ACE48" w14:textId="77777777" w:rsidR="00405B61" w:rsidRPr="00D02C43" w:rsidRDefault="00405B61" w:rsidP="00405B61">
      <w:pPr>
        <w:pStyle w:val="Heading1"/>
        <w:rPr>
          <w:sz w:val="22"/>
          <w:szCs w:val="28"/>
        </w:rPr>
      </w:pPr>
      <w:r w:rsidRPr="00D02C43">
        <w:rPr>
          <w:sz w:val="22"/>
          <w:szCs w:val="28"/>
        </w:rPr>
        <w:t>Affiliations:</w:t>
      </w:r>
      <w:r w:rsidRPr="00D02C43">
        <w:rPr>
          <w:sz w:val="22"/>
          <w:szCs w:val="28"/>
        </w:rPr>
        <w:tab/>
      </w:r>
    </w:p>
    <w:p w14:paraId="2EA88FA7" w14:textId="0BDE55AE" w:rsidR="00405B61" w:rsidRPr="00D02C43" w:rsidRDefault="001B448C" w:rsidP="001B448C">
      <w:pPr>
        <w:pStyle w:val="Paragraph"/>
        <w:ind w:firstLine="0"/>
        <w:rPr>
          <w:sz w:val="22"/>
          <w:szCs w:val="22"/>
        </w:rPr>
      </w:pPr>
      <w:r w:rsidRPr="00D02C43">
        <w:rPr>
          <w:sz w:val="22"/>
          <w:szCs w:val="22"/>
        </w:rPr>
        <w:t xml:space="preserve">1: </w:t>
      </w:r>
      <w:r w:rsidR="00405B61" w:rsidRPr="00D02C43">
        <w:rPr>
          <w:sz w:val="22"/>
          <w:szCs w:val="22"/>
        </w:rPr>
        <w:t>Department of Marine and Environmental Sciences, Northeastern University</w:t>
      </w:r>
      <w:r w:rsidRPr="00D02C43">
        <w:rPr>
          <w:sz w:val="22"/>
          <w:szCs w:val="22"/>
        </w:rPr>
        <w:t xml:space="preserve">, </w:t>
      </w:r>
      <w:r w:rsidR="00405B61" w:rsidRPr="00D02C43">
        <w:rPr>
          <w:sz w:val="22"/>
          <w:szCs w:val="22"/>
        </w:rPr>
        <w:t>Nahant, MA, USA.</w:t>
      </w:r>
    </w:p>
    <w:p w14:paraId="57EC237D" w14:textId="7AD40AA9" w:rsidR="00405B61" w:rsidRPr="00D02C43" w:rsidRDefault="00405B61" w:rsidP="008503BD">
      <w:pPr>
        <w:pStyle w:val="Paragraph"/>
        <w:ind w:firstLine="0"/>
        <w:rPr>
          <w:sz w:val="22"/>
          <w:szCs w:val="22"/>
        </w:rPr>
      </w:pPr>
      <w:r w:rsidRPr="00D02C43">
        <w:rPr>
          <w:sz w:val="22"/>
          <w:szCs w:val="22"/>
        </w:rPr>
        <w:t xml:space="preserve">*Corresponding author. Email: </w:t>
      </w:r>
      <w:hyperlink r:id="rId6" w:history="1">
        <w:r w:rsidRPr="00D02C43">
          <w:rPr>
            <w:rStyle w:val="Hyperlink"/>
            <w:sz w:val="22"/>
            <w:szCs w:val="22"/>
          </w:rPr>
          <w:t>j.selwyn@northeastern.edu</w:t>
        </w:r>
      </w:hyperlink>
      <w:r w:rsidRPr="00D02C43">
        <w:rPr>
          <w:sz w:val="22"/>
          <w:szCs w:val="22"/>
        </w:rPr>
        <w:t xml:space="preserve"> </w:t>
      </w:r>
    </w:p>
    <w:bookmarkEnd w:id="0"/>
    <w:p w14:paraId="191A602F" w14:textId="194D35C4" w:rsidR="00405B61" w:rsidRPr="00D02C43" w:rsidRDefault="00405B61" w:rsidP="00405B61">
      <w:pPr>
        <w:pStyle w:val="Heading1"/>
        <w:rPr>
          <w:sz w:val="22"/>
          <w:szCs w:val="28"/>
        </w:rPr>
      </w:pPr>
      <w:r w:rsidRPr="00D02C43">
        <w:rPr>
          <w:sz w:val="22"/>
          <w:szCs w:val="28"/>
        </w:rPr>
        <w:t>Keywords</w:t>
      </w:r>
    </w:p>
    <w:p w14:paraId="1979F611" w14:textId="0976297F" w:rsidR="00405B61" w:rsidRPr="00D02C43" w:rsidRDefault="00405B61" w:rsidP="00405B61">
      <w:pPr>
        <w:rPr>
          <w:sz w:val="22"/>
          <w:szCs w:val="20"/>
        </w:rPr>
      </w:pPr>
    </w:p>
    <w:p w14:paraId="4142FE6D" w14:textId="4079BDFA" w:rsidR="00405B61" w:rsidRPr="00D02C43" w:rsidRDefault="00405B61" w:rsidP="00E72917">
      <w:pPr>
        <w:pStyle w:val="Heading1"/>
        <w:rPr>
          <w:sz w:val="22"/>
          <w:szCs w:val="28"/>
        </w:rPr>
      </w:pPr>
      <w:r w:rsidRPr="00D02C43">
        <w:rPr>
          <w:sz w:val="22"/>
          <w:szCs w:val="28"/>
        </w:rPr>
        <w:t>Abstract</w:t>
      </w:r>
    </w:p>
    <w:p w14:paraId="63D214C9" w14:textId="77777777" w:rsidR="00405B61" w:rsidRPr="00D02C43" w:rsidRDefault="00405B61" w:rsidP="00405B61">
      <w:pPr>
        <w:rPr>
          <w:sz w:val="22"/>
          <w:szCs w:val="20"/>
        </w:rPr>
      </w:pPr>
    </w:p>
    <w:p w14:paraId="7948BA35" w14:textId="6EBF7045" w:rsidR="00405B61" w:rsidRPr="00D02C43" w:rsidRDefault="00405B61" w:rsidP="00405B61">
      <w:pPr>
        <w:pStyle w:val="Heading1"/>
        <w:rPr>
          <w:sz w:val="22"/>
          <w:szCs w:val="28"/>
        </w:rPr>
      </w:pPr>
      <w:r w:rsidRPr="00D02C43">
        <w:rPr>
          <w:sz w:val="22"/>
          <w:szCs w:val="28"/>
        </w:rPr>
        <w:t>Introduction</w:t>
      </w:r>
    </w:p>
    <w:p w14:paraId="13A91665" w14:textId="25AB7C62" w:rsidR="005348B0" w:rsidRPr="00D02C43" w:rsidRDefault="005348B0" w:rsidP="005348B0">
      <w:pPr>
        <w:ind w:firstLine="360"/>
        <w:rPr>
          <w:sz w:val="22"/>
          <w:szCs w:val="20"/>
        </w:rPr>
      </w:pPr>
      <w:r w:rsidRPr="00D02C43">
        <w:rPr>
          <w:sz w:val="22"/>
          <w:szCs w:val="20"/>
        </w:rPr>
        <w:t>Caribbean coral reefs are inundated with global and local stressors leading to stark declines in coral cover, abundance, and diversity throughout the region (</w:t>
      </w:r>
      <w:r w:rsidRPr="00D02C43">
        <w:rPr>
          <w:b/>
          <w:bCs/>
          <w:sz w:val="22"/>
          <w:szCs w:val="20"/>
        </w:rPr>
        <w:t>CITE</w:t>
      </w:r>
      <w:r w:rsidRPr="00D02C43">
        <w:rPr>
          <w:sz w:val="22"/>
          <w:szCs w:val="20"/>
        </w:rPr>
        <w:t xml:space="preserve">). Historically these reefs were dominated by the sister </w:t>
      </w:r>
      <w:r w:rsidRPr="00D02C43">
        <w:rPr>
          <w:i/>
          <w:iCs/>
          <w:sz w:val="22"/>
          <w:szCs w:val="20"/>
        </w:rPr>
        <w:t xml:space="preserve">Acropora </w:t>
      </w:r>
      <w:r w:rsidRPr="00D02C43">
        <w:rPr>
          <w:sz w:val="22"/>
          <w:szCs w:val="20"/>
        </w:rPr>
        <w:t xml:space="preserve">taxa, </w:t>
      </w:r>
      <w:r w:rsidRPr="00D02C43">
        <w:rPr>
          <w:i/>
          <w:iCs/>
          <w:sz w:val="22"/>
          <w:szCs w:val="20"/>
        </w:rPr>
        <w:t>A. cervicornis</w:t>
      </w:r>
      <w:r w:rsidRPr="00D02C43">
        <w:rPr>
          <w:sz w:val="22"/>
          <w:szCs w:val="20"/>
        </w:rPr>
        <w:t xml:space="preserve"> and </w:t>
      </w:r>
      <w:r w:rsidRPr="00D02C43">
        <w:rPr>
          <w:i/>
          <w:iCs/>
          <w:sz w:val="22"/>
          <w:szCs w:val="20"/>
        </w:rPr>
        <w:t xml:space="preserve">A. palmata </w:t>
      </w:r>
      <w:r w:rsidRPr="00D02C43">
        <w:rPr>
          <w:sz w:val="22"/>
          <w:szCs w:val="20"/>
        </w:rPr>
        <w:t>(</w:t>
      </w:r>
      <w:r w:rsidRPr="00D02C43">
        <w:rPr>
          <w:b/>
          <w:bCs/>
          <w:sz w:val="22"/>
          <w:szCs w:val="20"/>
        </w:rPr>
        <w:t>CITE</w:t>
      </w:r>
      <w:r w:rsidRPr="00D02C43">
        <w:rPr>
          <w:sz w:val="22"/>
          <w:szCs w:val="20"/>
        </w:rPr>
        <w:t xml:space="preserve">). However, </w:t>
      </w:r>
      <w:r w:rsidR="007C6608" w:rsidRPr="00D02C43">
        <w:rPr>
          <w:sz w:val="22"/>
          <w:szCs w:val="20"/>
        </w:rPr>
        <w:t>since</w:t>
      </w:r>
      <w:r w:rsidRPr="00D02C43">
        <w:rPr>
          <w:sz w:val="22"/>
          <w:szCs w:val="20"/>
        </w:rPr>
        <w:t xml:space="preserve"> the 1980’s these two species </w:t>
      </w:r>
      <w:r w:rsidR="007C6608" w:rsidRPr="00D02C43">
        <w:rPr>
          <w:sz w:val="22"/>
          <w:szCs w:val="20"/>
        </w:rPr>
        <w:t>have been</w:t>
      </w:r>
      <w:r w:rsidRPr="00D02C43">
        <w:rPr>
          <w:sz w:val="22"/>
          <w:szCs w:val="20"/>
        </w:rPr>
        <w:t xml:space="preserve"> decimated by the spread of an apparently novel disease</w:t>
      </w:r>
      <w:r w:rsidR="001B45DE" w:rsidRPr="00D02C43">
        <w:rPr>
          <w:sz w:val="22"/>
          <w:szCs w:val="20"/>
        </w:rPr>
        <w:t xml:space="preserve"> causing &gt; 95% mortality (</w:t>
      </w:r>
      <w:r w:rsidR="001B45DE" w:rsidRPr="00D02C43">
        <w:rPr>
          <w:b/>
          <w:bCs/>
          <w:sz w:val="22"/>
          <w:szCs w:val="20"/>
        </w:rPr>
        <w:t>CITE</w:t>
      </w:r>
      <w:r w:rsidR="001B45DE" w:rsidRPr="00D02C43">
        <w:rPr>
          <w:sz w:val="22"/>
          <w:szCs w:val="20"/>
        </w:rPr>
        <w:t>).</w:t>
      </w:r>
      <w:r w:rsidRPr="00D02C43">
        <w:rPr>
          <w:sz w:val="22"/>
          <w:szCs w:val="20"/>
        </w:rPr>
        <w:t xml:space="preserve"> </w:t>
      </w:r>
      <w:r w:rsidR="001B45DE" w:rsidRPr="00D02C43">
        <w:rPr>
          <w:sz w:val="22"/>
          <w:szCs w:val="20"/>
        </w:rPr>
        <w:t xml:space="preserve">This novel disease is </w:t>
      </w:r>
      <w:r w:rsidRPr="00D02C43">
        <w:rPr>
          <w:sz w:val="22"/>
          <w:szCs w:val="20"/>
        </w:rPr>
        <w:t xml:space="preserve">typified by an advancing bleaching margin ahead of a nectrotic tissue margin named white band disease (WBD; </w:t>
      </w:r>
      <w:r w:rsidRPr="00D02C43">
        <w:rPr>
          <w:b/>
          <w:bCs/>
          <w:sz w:val="22"/>
          <w:szCs w:val="20"/>
        </w:rPr>
        <w:t>CITE</w:t>
      </w:r>
      <w:r w:rsidRPr="00D02C43">
        <w:rPr>
          <w:sz w:val="22"/>
          <w:szCs w:val="20"/>
        </w:rPr>
        <w:t>).</w:t>
      </w:r>
      <w:r w:rsidR="001B45DE" w:rsidRPr="00D02C43">
        <w:rPr>
          <w:sz w:val="22"/>
          <w:szCs w:val="20"/>
        </w:rPr>
        <w:t xml:space="preserve"> Identification of the culprit pathogen(s) has been difficult with multiple taxa being potentially implicated by different research avenues of the years (</w:t>
      </w:r>
      <w:r w:rsidR="001B45DE" w:rsidRPr="00D02C43">
        <w:rPr>
          <w:b/>
          <w:bCs/>
          <w:sz w:val="22"/>
          <w:szCs w:val="20"/>
        </w:rPr>
        <w:t>CITE</w:t>
      </w:r>
      <w:r w:rsidR="001B45DE" w:rsidRPr="00D02C43">
        <w:rPr>
          <w:sz w:val="22"/>
          <w:szCs w:val="20"/>
        </w:rPr>
        <w:t>).</w:t>
      </w:r>
    </w:p>
    <w:p w14:paraId="6170028A" w14:textId="22A4D955" w:rsidR="00DA2F30" w:rsidRPr="00D02C43" w:rsidRDefault="00DA2F30" w:rsidP="00DA2F30">
      <w:pPr>
        <w:pStyle w:val="ListParagraph"/>
        <w:numPr>
          <w:ilvl w:val="0"/>
          <w:numId w:val="5"/>
        </w:numPr>
        <w:rPr>
          <w:sz w:val="22"/>
          <w:szCs w:val="20"/>
        </w:rPr>
      </w:pPr>
      <w:r w:rsidRPr="00D02C43">
        <w:rPr>
          <w:sz w:val="22"/>
          <w:szCs w:val="20"/>
        </w:rPr>
        <w:t>Holobiont makes identification of pathogenic culprit difficult</w:t>
      </w:r>
    </w:p>
    <w:p w14:paraId="2B88E2FB" w14:textId="6AEF4D16" w:rsidR="001B45DE" w:rsidRPr="00D02C43" w:rsidRDefault="001B45DE" w:rsidP="001B45DE">
      <w:pPr>
        <w:pStyle w:val="ListParagraph"/>
        <w:numPr>
          <w:ilvl w:val="1"/>
          <w:numId w:val="5"/>
        </w:numPr>
        <w:rPr>
          <w:sz w:val="22"/>
          <w:szCs w:val="20"/>
        </w:rPr>
      </w:pPr>
      <w:r w:rsidRPr="00D02C43">
        <w:rPr>
          <w:i/>
          <w:iCs/>
          <w:sz w:val="22"/>
          <w:szCs w:val="20"/>
        </w:rPr>
        <w:t>Vibrio charcharia</w:t>
      </w:r>
      <w:r w:rsidRPr="00D02C43">
        <w:rPr>
          <w:sz w:val="22"/>
          <w:szCs w:val="20"/>
        </w:rPr>
        <w:t xml:space="preserve"> like species always present in surface mucopolysaccharide layer </w:t>
      </w:r>
      <w:r w:rsidRPr="00D02C43">
        <w:rPr>
          <w:sz w:val="22"/>
          <w:szCs w:val="20"/>
        </w:rPr>
        <w:fldChar w:fldCharType="begin"/>
      </w:r>
      <w:r w:rsidRPr="00D02C43">
        <w:rPr>
          <w:sz w:val="22"/>
          <w:szCs w:val="20"/>
        </w:rPr>
        <w:instrText xml:space="preserve"> ADDIN ZOTERO_ITEM CSL_CITATION {"citationID":"KdnxV4t1","properties":{"formattedCitation":"(Ritchie and Smith 1998)","plainCitation":"(Ritchie and Smith 1998)","noteIndex":0},"citationItems":[{"id":8797,"uris":["http://zotero.org/users/1538077/items/E8Y4SGCB"],"itemData":{"id":8797,"type":"article-journal","container-title":"Revista De Biologia Tropical","issue":"5","note":"ISBN: 2215-2075","page":"199-203","title":"Type II white-band disease","volume":"46","author":[{"family":"Ritchie","given":"K. B."},{"family":"Smith","given":"G. W."}],"issued":{"date-parts":[["1998"]]}}}],"schema":"https://github.com/citation-style-language/schema/raw/master/csl-citation.json"} </w:instrText>
      </w:r>
      <w:r w:rsidRPr="00D02C43">
        <w:rPr>
          <w:sz w:val="22"/>
          <w:szCs w:val="20"/>
        </w:rPr>
        <w:fldChar w:fldCharType="separate"/>
      </w:r>
      <w:r w:rsidRPr="00D02C43">
        <w:rPr>
          <w:rFonts w:cs="Times New Roman"/>
          <w:sz w:val="22"/>
          <w:szCs w:val="20"/>
        </w:rPr>
        <w:t>(Ritchie and Smith 1998)</w:t>
      </w:r>
      <w:r w:rsidRPr="00D02C43">
        <w:rPr>
          <w:sz w:val="22"/>
          <w:szCs w:val="20"/>
        </w:rPr>
        <w:fldChar w:fldCharType="end"/>
      </w:r>
      <w:r w:rsidR="007F3A65" w:rsidRPr="00D02C43">
        <w:rPr>
          <w:sz w:val="22"/>
          <w:szCs w:val="20"/>
        </w:rPr>
        <w:t xml:space="preserve"> – type 2</w:t>
      </w:r>
    </w:p>
    <w:p w14:paraId="4997B55D" w14:textId="55C49F7A" w:rsidR="001B45DE" w:rsidRPr="00D02C43" w:rsidRDefault="007F3A65" w:rsidP="001B45DE">
      <w:pPr>
        <w:pStyle w:val="ListParagraph"/>
        <w:numPr>
          <w:ilvl w:val="1"/>
          <w:numId w:val="5"/>
        </w:numPr>
        <w:rPr>
          <w:sz w:val="22"/>
          <w:szCs w:val="20"/>
          <w:lang w:val="es-PA"/>
        </w:rPr>
      </w:pPr>
      <w:r w:rsidRPr="00D02C43">
        <w:rPr>
          <w:i/>
          <w:iCs/>
          <w:sz w:val="22"/>
          <w:szCs w:val="20"/>
          <w:lang w:val="es-PA"/>
        </w:rPr>
        <w:t>Vibrio harveyi</w:t>
      </w:r>
      <w:r w:rsidRPr="00D02C43">
        <w:rPr>
          <w:sz w:val="22"/>
          <w:szCs w:val="20"/>
          <w:lang w:val="es-PA"/>
        </w:rPr>
        <w:t xml:space="preserve"> </w:t>
      </w:r>
      <w:r w:rsidRPr="00D02C43">
        <w:rPr>
          <w:sz w:val="22"/>
          <w:szCs w:val="20"/>
        </w:rPr>
        <w:fldChar w:fldCharType="begin"/>
      </w:r>
      <w:r w:rsidRPr="00D02C43">
        <w:rPr>
          <w:sz w:val="22"/>
          <w:szCs w:val="20"/>
          <w:lang w:val="es-PA"/>
        </w:rPr>
        <w:instrText xml:space="preserve"> ADDIN ZOTERO_ITEM CSL_CITATION {"citationID":"w5Fvdfzj","properties":{"formattedCitation":"(Gil-Agudelo et al. 2006)","plainCitation":"(Gil-Agudelo et al. 2006)","noteIndex":0},"citationItems":[{"id":8798,"uris":["http://zotero.org/users/1538077/items/TZ8VXYAE"],"itemData":{"id":8798,"type":"article-journal","container-title":"Revista de Biología Tropical","ISSN":"0034-7744","language":"en","note":"publisher: http://creativecommons.org/licenses/by/3.0","page":"59-67","source":"SciELO","title":"The white band disease type II pathogen in Puerto Rico","volume":"54","author":[{"family":"Gil-Agudelo","given":"D. L."},{"family":"Smith","given":"G. W."},{"family":"Weil","given":"E."}],"issued":{"date-parts":[["2006",12]]}}}],"schema":"https://github.com/citation-style-language/schema/raw/master/csl-citation.json"} </w:instrText>
      </w:r>
      <w:r w:rsidRPr="00D02C43">
        <w:rPr>
          <w:sz w:val="22"/>
          <w:szCs w:val="20"/>
        </w:rPr>
        <w:fldChar w:fldCharType="separate"/>
      </w:r>
      <w:r w:rsidRPr="00D02C43">
        <w:rPr>
          <w:rFonts w:cs="Times New Roman"/>
          <w:sz w:val="22"/>
          <w:szCs w:val="20"/>
          <w:lang w:val="es-PA"/>
        </w:rPr>
        <w:t>(Gil-Agudelo et al. 2006)</w:t>
      </w:r>
      <w:r w:rsidRPr="00D02C43">
        <w:rPr>
          <w:sz w:val="22"/>
          <w:szCs w:val="20"/>
        </w:rPr>
        <w:fldChar w:fldCharType="end"/>
      </w:r>
      <w:r w:rsidRPr="00D02C43">
        <w:rPr>
          <w:sz w:val="22"/>
          <w:szCs w:val="20"/>
          <w:lang w:val="es-PA"/>
        </w:rPr>
        <w:t xml:space="preserve"> – type 2</w:t>
      </w:r>
    </w:p>
    <w:p w14:paraId="57B33124" w14:textId="77777777" w:rsidR="007F3A65" w:rsidRPr="00D02C43" w:rsidRDefault="007F3A65" w:rsidP="001B45DE">
      <w:pPr>
        <w:pStyle w:val="ListParagraph"/>
        <w:numPr>
          <w:ilvl w:val="1"/>
          <w:numId w:val="5"/>
        </w:numPr>
        <w:rPr>
          <w:sz w:val="22"/>
          <w:szCs w:val="20"/>
          <w:lang w:val="es-PA"/>
        </w:rPr>
      </w:pPr>
    </w:p>
    <w:p w14:paraId="72DFAA46" w14:textId="6357166C" w:rsidR="001B45DE" w:rsidRPr="00D02C43" w:rsidRDefault="0050214D" w:rsidP="00C60ECE">
      <w:pPr>
        <w:ind w:firstLine="360"/>
        <w:rPr>
          <w:sz w:val="22"/>
          <w:szCs w:val="20"/>
        </w:rPr>
      </w:pPr>
      <w:r w:rsidRPr="00D02C43">
        <w:rPr>
          <w:sz w:val="22"/>
          <w:szCs w:val="20"/>
        </w:rPr>
        <w:t xml:space="preserve">While the specific pathogen has </w:t>
      </w:r>
      <w:r w:rsidR="00C60ECE" w:rsidRPr="00D02C43">
        <w:rPr>
          <w:sz w:val="22"/>
          <w:szCs w:val="20"/>
        </w:rPr>
        <w:t xml:space="preserve">yet to be identified to </w:t>
      </w:r>
      <w:r w:rsidRPr="00D02C43">
        <w:rPr>
          <w:sz w:val="22"/>
          <w:szCs w:val="20"/>
        </w:rPr>
        <w:t>satisf</w:t>
      </w:r>
      <w:r w:rsidR="00C60ECE" w:rsidRPr="00D02C43">
        <w:rPr>
          <w:sz w:val="22"/>
          <w:szCs w:val="20"/>
        </w:rPr>
        <w:t>y</w:t>
      </w:r>
      <w:r w:rsidRPr="00D02C43">
        <w:rPr>
          <w:sz w:val="22"/>
          <w:szCs w:val="20"/>
        </w:rPr>
        <w:t xml:space="preserve"> the Henle–Koch postulates it has been determined to likely be a bacterial infection due to the inhibition of the disease with antibiotics </w:t>
      </w:r>
      <w:r w:rsidR="00C60ECE" w:rsidRPr="00D02C43">
        <w:rPr>
          <w:sz w:val="22"/>
          <w:szCs w:val="20"/>
        </w:rPr>
        <w:t>(</w:t>
      </w:r>
      <w:r w:rsidR="00C60ECE" w:rsidRPr="00D02C43">
        <w:rPr>
          <w:b/>
          <w:bCs/>
          <w:sz w:val="22"/>
          <w:szCs w:val="20"/>
        </w:rPr>
        <w:t>CITE</w:t>
      </w:r>
      <w:r w:rsidR="00C60ECE" w:rsidRPr="00D02C43">
        <w:rPr>
          <w:sz w:val="22"/>
          <w:szCs w:val="20"/>
        </w:rPr>
        <w:t xml:space="preserve">). </w:t>
      </w:r>
      <w:r w:rsidR="00C60ECE" w:rsidRPr="00D02C43">
        <w:rPr>
          <w:b/>
          <w:bCs/>
          <w:sz w:val="22"/>
          <w:szCs w:val="20"/>
        </w:rPr>
        <w:t>CONTINUE HERE TALKING ABOUT SOME OF THE IMPLICATED BACTERIA</w:t>
      </w:r>
    </w:p>
    <w:p w14:paraId="2A55CE19" w14:textId="3534F37B" w:rsidR="00DA2F30" w:rsidRPr="00D02C43" w:rsidRDefault="00DA2F30" w:rsidP="00DA2F30">
      <w:pPr>
        <w:pStyle w:val="ListParagraph"/>
        <w:numPr>
          <w:ilvl w:val="0"/>
          <w:numId w:val="5"/>
        </w:numPr>
        <w:rPr>
          <w:sz w:val="22"/>
          <w:szCs w:val="20"/>
        </w:rPr>
      </w:pPr>
      <w:r w:rsidRPr="00D02C43">
        <w:rPr>
          <w:sz w:val="22"/>
          <w:szCs w:val="20"/>
        </w:rPr>
        <w:t>ML methods can supplement traditional disease press experiments to narrow candidate list</w:t>
      </w:r>
    </w:p>
    <w:p w14:paraId="071BF1C9" w14:textId="197AA5A9" w:rsidR="007C6608" w:rsidRPr="00D02C43" w:rsidRDefault="007C6608" w:rsidP="007C6608">
      <w:pPr>
        <w:ind w:firstLine="360"/>
        <w:rPr>
          <w:sz w:val="22"/>
          <w:szCs w:val="20"/>
        </w:rPr>
      </w:pPr>
      <w:r w:rsidRPr="00D02C43">
        <w:rPr>
          <w:sz w:val="22"/>
          <w:szCs w:val="20"/>
        </w:rPr>
        <w:t xml:space="preserve">Beyond simple pathogen identification the entire coral holobiont is potentially implicated in the disease spread with a cascading succession of microbial types including commensalists, mutualists, pathogens, and opportunists all likely changing in abundance through the process of dysbiosis undertaken in the transition from healthy to diseased coral </w:t>
      </w:r>
      <w:r w:rsidRPr="00D02C43">
        <w:rPr>
          <w:sz w:val="22"/>
          <w:szCs w:val="20"/>
        </w:rPr>
        <w:fldChar w:fldCharType="begin"/>
      </w:r>
      <w:r w:rsidRPr="00D02C43">
        <w:rPr>
          <w:sz w:val="22"/>
          <w:szCs w:val="20"/>
        </w:rPr>
        <w:instrText xml:space="preserve"> ADDIN ZOTERO_ITEM CSL_CITATION {"citationID":"CrLvzXiM","properties":{"formattedCitation":"(Vega Thurber et al. 2020)","plainCitation":"(Vega Thurber et al. 2020)","noteIndex":0},"citationItems":[{"id":8846,"uris":["http://zotero.org/users/1538077/items/6RAPBDUJ"],"itemData":{"id":8846,"type":"article-journal","abstract":"Diseases of tropical reef organisms is an intensive area of study, but despite significant advances in methodology and the global knowledge base, identifying the proximate causes of disease outbreaks remains difficult. The dynamics of infectious wildlife diseases are known to be influenced by shifting interactions among the host, pathogen, and other members of the microbiome, and a collective body of work clearly demonstrates that this is also the case for the main foundation species on reefs, corals. Yet, among wildlife, outbreaks of coral diseases stand out as being driven largely by a changing environment. These outbreaks contributed not only to significant losses of coral species but also to whole ecosystem regime shifts. Here we suggest that to better decipher the disease dynamics of corals, we must integrate more holistic and modern paradigms that consider multiple and variable interactions among the three major players in epizootics: the host, its associated microbiome, and the environment. In this perspective, we discuss how expanding the pathogen component of the classic host-pathogen-environment disease triad to incorporate shifts in the microbiome leading to dysbiosis provides a better model for understanding coral disease dynamics. We outline and discuss issues arising when evaluating each component of this trio and make suggestions for bridging gaps between them. We further suggest that to best tackle these challenges, researchers must adjust standard paradigms, like the classic one pathogen-one disease model, that, to date, have been ineffectual at uncovering many of the emergent properties of coral reef disease dynamics. Lastly, we make recommendations for ways forward in the fields of marine disease ecology and the future of coral reef conservation and restoration given these observations.","container-title":"Frontiers in Ecology and Evolution","ISSN":"2296-701X","source":"Frontiers","title":"Deciphering Coral Disease Dynamics: Integrating Host, Microbiome, and the Changing Environment","title-short":"Deciphering Coral Disease Dynamics","URL":"https://www.frontiersin.org/articles/10.3389/fevo.2020.575927","volume":"8","author":[{"family":"Vega Thurber","given":"Rebecca"},{"family":"Mydlarz","given":"Laura D."},{"family":"Brandt","given":"Marilyn"},{"family":"Harvell","given":"Drew"},{"family":"Weil","given":"Ernesto"},{"family":"Raymundo","given":"Laurie"},{"family":"Willis","given":"Bette L."},{"family":"Langevin","given":"Stan"},{"family":"Tracy","given":"Allison M."},{"family":"Littman","given":"Raechel"},{"family":"Kemp","given":"Keri M."},{"family":"Dawkins","given":"Phoebe"},{"family":"Prager","given":"Katherine C."},{"family":"Garren","given":"Melissa"},{"family":"Lamb","given":"Joleah"}],"accessed":{"date-parts":[["2023",6,29]]},"issued":{"date-parts":[["2020"]]}}}],"schema":"https://github.com/citation-style-language/schema/raw/master/csl-citation.json"} </w:instrText>
      </w:r>
      <w:r w:rsidRPr="00D02C43">
        <w:rPr>
          <w:sz w:val="22"/>
          <w:szCs w:val="20"/>
        </w:rPr>
        <w:fldChar w:fldCharType="separate"/>
      </w:r>
      <w:r w:rsidRPr="00D02C43">
        <w:rPr>
          <w:rFonts w:cs="Times New Roman"/>
          <w:sz w:val="22"/>
          <w:szCs w:val="20"/>
        </w:rPr>
        <w:t>(Vega Thurber et al. 2020)</w:t>
      </w:r>
      <w:r w:rsidRPr="00D02C43">
        <w:rPr>
          <w:sz w:val="22"/>
          <w:szCs w:val="20"/>
        </w:rPr>
        <w:fldChar w:fldCharType="end"/>
      </w:r>
      <w:r w:rsidRPr="00D02C43">
        <w:rPr>
          <w:sz w:val="22"/>
          <w:szCs w:val="20"/>
        </w:rPr>
        <w:t xml:space="preserve">. Using a suite of traditional and novel analytical techniques we aim to decipher the roles of microbes observed in, and putatively associated with white band disease in </w:t>
      </w:r>
      <w:r w:rsidRPr="00D02C43">
        <w:rPr>
          <w:i/>
          <w:iCs/>
          <w:sz w:val="22"/>
          <w:szCs w:val="20"/>
        </w:rPr>
        <w:t>A. cervicornis.</w:t>
      </w:r>
    </w:p>
    <w:p w14:paraId="0E7A0392" w14:textId="4B579054" w:rsidR="00891C04" w:rsidRPr="00D02C43" w:rsidRDefault="00920A09" w:rsidP="00E72917">
      <w:pPr>
        <w:pStyle w:val="Heading1"/>
        <w:rPr>
          <w:sz w:val="22"/>
          <w:szCs w:val="28"/>
        </w:rPr>
      </w:pPr>
      <w:r w:rsidRPr="00D02C43">
        <w:rPr>
          <w:sz w:val="22"/>
          <w:szCs w:val="28"/>
        </w:rPr>
        <w:t>Methods</w:t>
      </w:r>
    </w:p>
    <w:p w14:paraId="62796F65" w14:textId="3FC7C6D2" w:rsidR="00090EFA" w:rsidRPr="00D02C43" w:rsidRDefault="00090EFA" w:rsidP="00090EFA">
      <w:pPr>
        <w:pStyle w:val="Heading2"/>
        <w:rPr>
          <w:sz w:val="22"/>
          <w:szCs w:val="24"/>
        </w:rPr>
      </w:pPr>
      <w:r w:rsidRPr="00D02C43">
        <w:rPr>
          <w:sz w:val="22"/>
          <w:szCs w:val="24"/>
        </w:rPr>
        <w:t>Field Collections</w:t>
      </w:r>
    </w:p>
    <w:p w14:paraId="5A773A87" w14:textId="03DE0BE9" w:rsidR="00BE1192" w:rsidRPr="00D02C43" w:rsidRDefault="003416C8" w:rsidP="008333C5">
      <w:pPr>
        <w:pStyle w:val="ListParagraph"/>
        <w:numPr>
          <w:ilvl w:val="0"/>
          <w:numId w:val="2"/>
        </w:numPr>
        <w:rPr>
          <w:sz w:val="22"/>
          <w:szCs w:val="20"/>
        </w:rPr>
      </w:pPr>
      <w:r w:rsidRPr="00D02C43">
        <w:rPr>
          <w:sz w:val="22"/>
          <w:szCs w:val="20"/>
        </w:rPr>
        <w:t>Field d</w:t>
      </w:r>
      <w:r w:rsidR="008333C5" w:rsidRPr="00D02C43">
        <w:rPr>
          <w:sz w:val="22"/>
          <w:szCs w:val="20"/>
        </w:rPr>
        <w:t>ata collection</w:t>
      </w:r>
      <w:r w:rsidR="00FE73C3" w:rsidRPr="00D02C43">
        <w:rPr>
          <w:sz w:val="22"/>
          <w:szCs w:val="20"/>
        </w:rPr>
        <w:t xml:space="preserve"> (surveys and microbial samples)</w:t>
      </w:r>
    </w:p>
    <w:p w14:paraId="6D4053E0" w14:textId="5F27C63F" w:rsidR="001B4227" w:rsidRPr="00D02C43" w:rsidRDefault="001B4227" w:rsidP="001B4227">
      <w:pPr>
        <w:ind w:firstLine="360"/>
        <w:rPr>
          <w:sz w:val="22"/>
          <w:szCs w:val="20"/>
        </w:rPr>
      </w:pPr>
      <w:r w:rsidRPr="00D02C43">
        <w:rPr>
          <w:sz w:val="22"/>
          <w:szCs w:val="20"/>
        </w:rPr>
        <w:lastRenderedPageBreak/>
        <w:t xml:space="preserve">The </w:t>
      </w:r>
      <w:r w:rsidR="009C1600" w:rsidRPr="00D02C43">
        <w:rPr>
          <w:sz w:val="22"/>
          <w:szCs w:val="20"/>
        </w:rPr>
        <w:t>prevalence</w:t>
      </w:r>
      <w:r w:rsidRPr="00D02C43">
        <w:rPr>
          <w:sz w:val="22"/>
          <w:szCs w:val="20"/>
        </w:rPr>
        <w:t xml:space="preserve"> of WBD was modelled using a generalized linear mixed model with a logit link function using sampling time </w:t>
      </w:r>
      <w:r w:rsidR="00541EF9" w:rsidRPr="00D02C43">
        <w:rPr>
          <w:sz w:val="22"/>
          <w:szCs w:val="20"/>
        </w:rPr>
        <w:t xml:space="preserve">as a fixed </w:t>
      </w:r>
      <w:r w:rsidRPr="00D02C43">
        <w:rPr>
          <w:sz w:val="22"/>
          <w:szCs w:val="20"/>
        </w:rPr>
        <w:t>effect</w:t>
      </w:r>
      <w:r w:rsidR="00541EF9" w:rsidRPr="00D02C43">
        <w:rPr>
          <w:sz w:val="22"/>
          <w:szCs w:val="20"/>
        </w:rPr>
        <w:t xml:space="preserve"> </w:t>
      </w:r>
      <w:r w:rsidR="00694823" w:rsidRPr="00D02C43">
        <w:rPr>
          <w:sz w:val="22"/>
          <w:szCs w:val="20"/>
        </w:rPr>
        <w:t xml:space="preserve">and a </w:t>
      </w:r>
      <w:r w:rsidR="00541EF9" w:rsidRPr="00D02C43">
        <w:rPr>
          <w:sz w:val="22"/>
          <w:szCs w:val="20"/>
        </w:rPr>
        <w:t xml:space="preserve">random effect </w:t>
      </w:r>
      <w:r w:rsidR="00694823" w:rsidRPr="00D02C43">
        <w:rPr>
          <w:sz w:val="22"/>
          <w:szCs w:val="20"/>
        </w:rPr>
        <w:t xml:space="preserve">of site </w:t>
      </w:r>
      <w:r w:rsidRPr="00D02C43">
        <w:rPr>
          <w:sz w:val="22"/>
          <w:szCs w:val="20"/>
        </w:rPr>
        <w:t xml:space="preserve">with significance assessed using </w:t>
      </w:r>
      <w:r w:rsidR="00694823" w:rsidRPr="00D02C43">
        <w:rPr>
          <w:sz w:val="22"/>
          <w:szCs w:val="20"/>
        </w:rPr>
        <w:t xml:space="preserve">a </w:t>
      </w:r>
      <w:r w:rsidRPr="00D02C43">
        <w:rPr>
          <w:sz w:val="22"/>
          <w:szCs w:val="20"/>
        </w:rPr>
        <w:t>likelihood ratio test</w:t>
      </w:r>
      <w:r w:rsidR="00EE13DD" w:rsidRPr="00D02C43">
        <w:rPr>
          <w:sz w:val="22"/>
          <w:szCs w:val="20"/>
        </w:rPr>
        <w:t xml:space="preserve"> </w:t>
      </w:r>
      <w:r w:rsidR="00EE13DD" w:rsidRPr="00D02C43">
        <w:rPr>
          <w:sz w:val="22"/>
          <w:szCs w:val="20"/>
        </w:rPr>
        <w:fldChar w:fldCharType="begin"/>
      </w:r>
      <w:r w:rsidR="00C34DFB" w:rsidRPr="00D02C43">
        <w:rPr>
          <w:sz w:val="22"/>
          <w:szCs w:val="20"/>
        </w:rPr>
        <w:instrText xml:space="preserve"> ADDIN ZOTERO_ITEM CSL_CITATION {"citationID":"xxvAajkU","properties":{"formattedCitation":"(Bates et al. 2015)","plainCitation":"(Bates et al. 2015)","noteIndex":0},"citationItems":[{"id":8809,"uris":["http://zotero.org/users/1538077/items/MGR3SLSK"],"itemData":{"id":8809,"type":"article-journal","abstract":"Maximum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Software","issue":"i01","language":"en","note":"publisher: Foundation for Open Access Statistics","source":"ideas.repec.org","title":"Fitting Linear Mixed-Effects Models Using lme4","URL":"https://ideas.repec.org//a/jss/jstsof/v067i01.html","volume":"067","author":[{"family":"Bates","given":"Douglas"},{"family":"Mächler","given":"Martin"},{"family":"Bolker","given":"Ben"},{"family":"Walker","given":"Steve"}],"accessed":{"date-parts":[["2023",4,28]]},"issued":{"date-parts":[["2015"]]}}}],"schema":"https://github.com/citation-style-language/schema/raw/master/csl-citation.json"} </w:instrText>
      </w:r>
      <w:r w:rsidR="00EE13DD" w:rsidRPr="00D02C43">
        <w:rPr>
          <w:sz w:val="22"/>
          <w:szCs w:val="20"/>
        </w:rPr>
        <w:fldChar w:fldCharType="separate"/>
      </w:r>
      <w:r w:rsidR="00C34DFB" w:rsidRPr="00D02C43">
        <w:rPr>
          <w:rFonts w:cs="Times New Roman"/>
          <w:sz w:val="22"/>
          <w:szCs w:val="20"/>
        </w:rPr>
        <w:t>(Bates et al. 2015)</w:t>
      </w:r>
      <w:r w:rsidR="00EE13DD" w:rsidRPr="00D02C43">
        <w:rPr>
          <w:sz w:val="22"/>
          <w:szCs w:val="20"/>
        </w:rPr>
        <w:fldChar w:fldCharType="end"/>
      </w:r>
      <w:r w:rsidRPr="00D02C43">
        <w:rPr>
          <w:sz w:val="22"/>
          <w:szCs w:val="20"/>
        </w:rPr>
        <w:t xml:space="preserve">. </w:t>
      </w:r>
      <w:r w:rsidR="00FD2868" w:rsidRPr="00D02C43">
        <w:rPr>
          <w:sz w:val="22"/>
          <w:szCs w:val="20"/>
        </w:rPr>
        <w:t xml:space="preserve">Pairwise contrasts were used to identify significant differences between sampling timepoints using the Westfall p-value adjustment to control the familywise error rate </w:t>
      </w:r>
      <w:r w:rsidR="00FD2868" w:rsidRPr="00D02C43">
        <w:rPr>
          <w:sz w:val="22"/>
          <w:szCs w:val="20"/>
        </w:rPr>
        <w:fldChar w:fldCharType="begin"/>
      </w:r>
      <w:r w:rsidR="00C34DFB" w:rsidRPr="00D02C43">
        <w:rPr>
          <w:sz w:val="22"/>
          <w:szCs w:val="20"/>
        </w:rPr>
        <w:instrText xml:space="preserve"> ADDIN ZOTERO_ITEM CSL_CITATION {"citationID":"0W32B6vh","properties":{"formattedCitation":"(Westfall 1997, Hothorn et al. 2008)","plainCitation":"(Westfall 1997, Hothorn et al. 2008)","noteIndex":0},"citationItems":[{"id":8820,"uris":["http://zotero.org/users/1538077/items/LAIZBWYW"],"itemData":{"id":8820,"type":"article-journal","abstract":"Use of logical constraints among hypotheses and correlations among test statistics can greatly improve the power of step-down tests. An algorithm for uncovering these logically constrained subsets in a given dataset is described. The multiple testing results are summarized using adjusted p values, which incorporate the relevant dependence structures and logical constraints. These adjusted p values are computed consistently and efficiently using a generalized least squares hybrid of simple and control-variate Monte Carlo methods, and the results are compared to alternative stepwise testing procedures.","container-title":"Journal of the American Statistical Association","DOI":"10.1080/01621459.1997.10473627","ISSN":"0162-1459","issue":"437","note":"publisher: Taylor &amp; Francis\n_eprint: https://doi.org/10.1080/01621459.1997.10473627","page":"299-306","source":"Taylor and Francis+NEJM","title":"Multiple Testing of General Contrasts Using Logical Constraints and Correlations","volume":"92","author":[{"family":"Westfall","given":"Peter H."}],"issued":{"date-parts":[["1997",3,1]]}}},{"id":9105,"uris":["http://zotero.org/users/1538077/items/ZBXZU5PG"],"itemData":{"id":9105,"type":"article-journal","abstract":"Simultaneous inference is a common problem in many areas of application. If multiple null hypotheses are tested simultaneously, the probability of rejecting erroneously at least one of them increases beyond the pre-specified significance level. Simultaneous inference procedures have to be used which adjust for multiplicity and thus control the overall type I error rate. In this paper we describe simultaneous inference procedures in general parametric models, where the experimental questions are specified through a linear combination of elemental model parameters. The framework described here is quite general and extends the canonical theory of multiple comparison procedures in ANOVA models to linear regression problems, generalized linear models, linear mixed effects models, the Cox model, robust linear models, etc. Several examples using a variety of different statistical models illustrate the breadth of the results. For the analyses we use the R add-on package multcomp, which provides a convenient interface to the general approach adopted here. (© 2008 WILEY-VCH Verlag GmbH &amp; Co. KGaA, Weinheim)","container-title":"Biometrical Journal","DOI":"10.1002/bimj.200810425","ISSN":"1521-4036","issue":"3","language":"en","license":"Copyright © 2008 WILEY-VCH Verlag GmbH &amp; Co. KGaA, Weinheim","note":"_eprint: https://onlinelibrary.wiley.com/doi/pdf/10.1002/bimj.200810425","page":"346-363","source":"Wiley Online Library","title":"Simultaneous Inference in General Parametric Models","volume":"50","author":[{"family":"Hothorn","given":"Torsten"},{"family":"Bretz","given":"Frank"},{"family":"Westfall","given":"Peter"}],"issued":{"date-parts":[["2008"]]}}}],"schema":"https://github.com/citation-style-language/schema/raw/master/csl-citation.json"} </w:instrText>
      </w:r>
      <w:r w:rsidR="00FD2868" w:rsidRPr="00D02C43">
        <w:rPr>
          <w:sz w:val="22"/>
          <w:szCs w:val="20"/>
        </w:rPr>
        <w:fldChar w:fldCharType="separate"/>
      </w:r>
      <w:r w:rsidR="00C34DFB" w:rsidRPr="00D02C43">
        <w:rPr>
          <w:rFonts w:cs="Times New Roman"/>
          <w:sz w:val="22"/>
          <w:szCs w:val="20"/>
        </w:rPr>
        <w:t>(Westfall 1997, Hothorn et al. 2008)</w:t>
      </w:r>
      <w:r w:rsidR="00FD2868" w:rsidRPr="00D02C43">
        <w:rPr>
          <w:sz w:val="22"/>
          <w:szCs w:val="20"/>
        </w:rPr>
        <w:fldChar w:fldCharType="end"/>
      </w:r>
      <w:r w:rsidR="00FD2868" w:rsidRPr="00D02C43">
        <w:rPr>
          <w:sz w:val="22"/>
          <w:szCs w:val="20"/>
        </w:rPr>
        <w:t>.</w:t>
      </w:r>
      <w:r w:rsidR="00694823" w:rsidRPr="00D02C43">
        <w:rPr>
          <w:sz w:val="22"/>
          <w:szCs w:val="20"/>
        </w:rPr>
        <w:t xml:space="preserve"> </w:t>
      </w:r>
      <w:r w:rsidR="00FD2868" w:rsidRPr="00D02C43">
        <w:rPr>
          <w:sz w:val="22"/>
          <w:szCs w:val="20"/>
        </w:rPr>
        <w:t xml:space="preserve">In addition to test for significant differences between years and season </w:t>
      </w:r>
      <w:r w:rsidR="00EE13DD" w:rsidRPr="00D02C43">
        <w:rPr>
          <w:sz w:val="22"/>
          <w:szCs w:val="20"/>
        </w:rPr>
        <w:t>by combining nested sampling times and using additional pairwise contrasts</w:t>
      </w:r>
      <w:r w:rsidR="00C34DFB" w:rsidRPr="00D02C43">
        <w:rPr>
          <w:sz w:val="22"/>
          <w:szCs w:val="20"/>
        </w:rPr>
        <w:t xml:space="preserve"> </w:t>
      </w:r>
      <w:r w:rsidR="00C34DFB" w:rsidRPr="00D02C43">
        <w:rPr>
          <w:sz w:val="22"/>
          <w:szCs w:val="20"/>
        </w:rPr>
        <w:fldChar w:fldCharType="begin"/>
      </w:r>
      <w:r w:rsidR="00C34DFB" w:rsidRPr="00D02C43">
        <w:rPr>
          <w:sz w:val="22"/>
          <w:szCs w:val="20"/>
        </w:rPr>
        <w:instrText xml:space="preserve"> ADDIN ZOTERO_ITEM CSL_CITATION {"citationID":"HCTbMBId","properties":{"formattedCitation":"(Lenth 2019)","plainCitation":"(Lenth 2019)","noteIndex":0},"citationItems":[{"id":2942,"uris":["http://zotero.org/users/1538077/items/L2I53XIY"],"itemData":{"id":2942,"type":"software","title":"emmeans: Estimated Marginal Means, aka Least-Squares Means","URL":"https://CRAN.R-project.org/package=emmeans","version":"1.4.1","author":[{"family":"Lenth","given":"Russell"}],"issued":{"date-parts":[["2019"]]}}}],"schema":"https://github.com/citation-style-language/schema/raw/master/csl-citation.json"} </w:instrText>
      </w:r>
      <w:r w:rsidR="00C34DFB" w:rsidRPr="00D02C43">
        <w:rPr>
          <w:sz w:val="22"/>
          <w:szCs w:val="20"/>
        </w:rPr>
        <w:fldChar w:fldCharType="separate"/>
      </w:r>
      <w:r w:rsidR="00C34DFB" w:rsidRPr="00D02C43">
        <w:rPr>
          <w:rFonts w:cs="Times New Roman"/>
          <w:sz w:val="22"/>
          <w:szCs w:val="20"/>
        </w:rPr>
        <w:t>(Lenth 2019)</w:t>
      </w:r>
      <w:r w:rsidR="00C34DFB" w:rsidRPr="00D02C43">
        <w:rPr>
          <w:sz w:val="22"/>
          <w:szCs w:val="20"/>
        </w:rPr>
        <w:fldChar w:fldCharType="end"/>
      </w:r>
      <w:r w:rsidR="00EE13DD" w:rsidRPr="00D02C43">
        <w:rPr>
          <w:sz w:val="22"/>
          <w:szCs w:val="20"/>
        </w:rPr>
        <w:t>.</w:t>
      </w:r>
    </w:p>
    <w:p w14:paraId="3E5C525D" w14:textId="53728743" w:rsidR="007D3E9D" w:rsidRPr="00D02C43" w:rsidRDefault="007D3E9D" w:rsidP="007D3E9D">
      <w:pPr>
        <w:pStyle w:val="Heading2"/>
        <w:rPr>
          <w:sz w:val="22"/>
          <w:szCs w:val="24"/>
        </w:rPr>
      </w:pPr>
      <w:r w:rsidRPr="00D02C43">
        <w:rPr>
          <w:sz w:val="22"/>
          <w:szCs w:val="24"/>
        </w:rPr>
        <w:t>Microbiome Characterization</w:t>
      </w:r>
    </w:p>
    <w:p w14:paraId="2F60A071" w14:textId="5F6A120F" w:rsidR="008333C5" w:rsidRPr="00D02C43" w:rsidRDefault="008333C5" w:rsidP="008333C5">
      <w:pPr>
        <w:pStyle w:val="ListParagraph"/>
        <w:numPr>
          <w:ilvl w:val="0"/>
          <w:numId w:val="2"/>
        </w:numPr>
        <w:rPr>
          <w:sz w:val="22"/>
          <w:szCs w:val="20"/>
        </w:rPr>
      </w:pPr>
      <w:r w:rsidRPr="00D02C43">
        <w:rPr>
          <w:sz w:val="22"/>
          <w:szCs w:val="20"/>
        </w:rPr>
        <w:t>16s sequencing</w:t>
      </w:r>
    </w:p>
    <w:p w14:paraId="0435DF8E" w14:textId="2C15EC5E" w:rsidR="007D3E9D" w:rsidRPr="00D02C43" w:rsidRDefault="008333C5" w:rsidP="007D3E9D">
      <w:pPr>
        <w:pStyle w:val="ListParagraph"/>
        <w:numPr>
          <w:ilvl w:val="0"/>
          <w:numId w:val="2"/>
        </w:numPr>
        <w:rPr>
          <w:sz w:val="22"/>
          <w:szCs w:val="20"/>
        </w:rPr>
      </w:pPr>
      <w:r w:rsidRPr="00D02C43">
        <w:rPr>
          <w:sz w:val="22"/>
          <w:szCs w:val="20"/>
        </w:rPr>
        <w:t>ASV Identification</w:t>
      </w:r>
    </w:p>
    <w:p w14:paraId="306600FA" w14:textId="0FDC1553" w:rsidR="0031530D" w:rsidRPr="00D02C43" w:rsidRDefault="0031530D" w:rsidP="0031530D">
      <w:pPr>
        <w:ind w:firstLine="360"/>
        <w:rPr>
          <w:sz w:val="22"/>
          <w:szCs w:val="20"/>
        </w:rPr>
      </w:pPr>
      <w:r w:rsidRPr="00D02C43">
        <w:rPr>
          <w:sz w:val="22"/>
          <w:szCs w:val="20"/>
        </w:rPr>
        <w:t xml:space="preserve">Samples were pruned to keep only those with more than 1,000 reads and to keep ASVs identified as bacteria after the removal of cyanobacteria, mitochondria, and chloroplast sequences. </w:t>
      </w:r>
      <w:r w:rsidR="005530F4" w:rsidRPr="00D02C43">
        <w:rPr>
          <w:sz w:val="22"/>
          <w:szCs w:val="20"/>
        </w:rPr>
        <w:t xml:space="preserve">ASVs were further filtered to retain those found in at least 10% of samples and in all four sampling timepoints. </w:t>
      </w:r>
      <w:r w:rsidR="00FD5E59" w:rsidRPr="00D02C43">
        <w:rPr>
          <w:sz w:val="22"/>
          <w:szCs w:val="20"/>
        </w:rPr>
        <w:t>Read counts of the remaining</w:t>
      </w:r>
      <w:r w:rsidR="005530F4" w:rsidRPr="00D02C43">
        <w:rPr>
          <w:sz w:val="22"/>
          <w:szCs w:val="20"/>
        </w:rPr>
        <w:t xml:space="preserve"> ASVs were normalized for variable sequencing depth using the trimmed mean of M-values method</w:t>
      </w:r>
      <w:r w:rsidR="00FD5E59" w:rsidRPr="00D02C43">
        <w:rPr>
          <w:sz w:val="22"/>
          <w:szCs w:val="20"/>
        </w:rPr>
        <w:t xml:space="preserve"> with singleton pairing implemented in </w:t>
      </w:r>
      <w:r w:rsidR="00FD5E59" w:rsidRPr="00D02C43">
        <w:rPr>
          <w:smallCaps/>
          <w:sz w:val="22"/>
          <w:szCs w:val="20"/>
        </w:rPr>
        <w:t>edgeR</w:t>
      </w:r>
      <w:r w:rsidR="00FD5E59" w:rsidRPr="00D02C43">
        <w:rPr>
          <w:sz w:val="22"/>
          <w:szCs w:val="20"/>
        </w:rPr>
        <w:t xml:space="preserve"> </w:t>
      </w:r>
      <w:r w:rsidR="00FD5E59" w:rsidRPr="00D02C43">
        <w:rPr>
          <w:sz w:val="22"/>
          <w:szCs w:val="20"/>
        </w:rPr>
        <w:fldChar w:fldCharType="begin"/>
      </w:r>
      <w:r w:rsidR="00FD5E59" w:rsidRPr="00D02C43">
        <w:rPr>
          <w:sz w:val="22"/>
          <w:szCs w:val="20"/>
        </w:rPr>
        <w:instrText xml:space="preserve"> ADDIN ZOTERO_ITEM CSL_CITATION {"citationID":"Xv2MwXHJ","properties":{"formattedCitation":"(TMMwsp; Robinson et al. 2010, Robinson and Oshlack 2010)","plainCitation":"(TMMwsp; Robinson et al. 2010, Robinson and Oshlack 2010)","noteIndex":0},"citationItems":[{"id":8836,"uris":["http://zotero.org/users/1538077/items/DJSD8PR6"],"itemData":{"id":8836,"type":"article-journal","abstract":"Summary: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data.Availability: The package is freely available under the LGPL licence from the Bioconductor web site (http://bioconductor.org).Contact:  mrobinson@wehi.edu.au","container-title":"Bioinformatics","DOI":"10.1093/bioinformatics/btp616","ISSN":"1367-4803","issue":"1","journalAbbreviation":"Bioinformatics","page":"139-140","source":"Silverchair","title":"edgeR: a Bioconductor package for differential expression analysis of digital gene expression data","title-short":"edgeR","volume":"26","author":[{"family":"Robinson","given":"Mark D."},{"family":"McCarthy","given":"Davis J."},{"family":"Smyth","given":"Gordon K."}],"issued":{"date-parts":[["2010",1,1]]}},"label":"page","prefix":"TMMwsp; "},{"id":8831,"uris":["http://zotero.org/users/1538077/items/5J3FWZBF"],"itemData":{"id":8831,"type":"article-journal","abstract":"The fine detail provided by sequencing-based transcriptome surveys suggests that RNA-seq is likely to become the platform of choice for interrogating steady state RNA. In order to discover biologically important changes in expression, we show that normalization continues to be an essential step in the analysis. We outline a simple and effective method for performing normalization and show dramatically improved results for inferring differential expression in simulated and publicly available data sets.","container-title":"Genome Biology","DOI":"10.1186/gb-2010-11-3-r25","ISSN":"1474-760X","issue":"3","journalAbbreviation":"Genome Biology","page":"R25","source":"BioMed Central","title":"A scaling normalization method for differential expression analysis of RNA-seq data","volume":"11","author":[{"family":"Robinson","given":"Mark D."},{"family":"Oshlack","given":"Alicia"}],"issued":{"date-parts":[["2010",3,2]]}}}],"schema":"https://github.com/citation-style-language/schema/raw/master/csl-citation.json"} </w:instrText>
      </w:r>
      <w:r w:rsidR="00FD5E59" w:rsidRPr="00D02C43">
        <w:rPr>
          <w:sz w:val="22"/>
          <w:szCs w:val="20"/>
        </w:rPr>
        <w:fldChar w:fldCharType="separate"/>
      </w:r>
      <w:r w:rsidR="00FD5E59" w:rsidRPr="00D02C43">
        <w:rPr>
          <w:rFonts w:cs="Times New Roman"/>
          <w:sz w:val="22"/>
          <w:szCs w:val="20"/>
        </w:rPr>
        <w:t>(TMMwsp; Robinson et al. 2010, Robinson and Oshlack 2010)</w:t>
      </w:r>
      <w:r w:rsidR="00FD5E59" w:rsidRPr="00D02C43">
        <w:rPr>
          <w:sz w:val="22"/>
          <w:szCs w:val="20"/>
        </w:rPr>
        <w:fldChar w:fldCharType="end"/>
      </w:r>
      <w:r w:rsidR="00FD5E59" w:rsidRPr="00D02C43">
        <w:rPr>
          <w:sz w:val="22"/>
          <w:szCs w:val="20"/>
        </w:rPr>
        <w:t xml:space="preserve">. </w:t>
      </w:r>
      <w:r w:rsidR="00700C7E" w:rsidRPr="00D02C43">
        <w:rPr>
          <w:sz w:val="22"/>
          <w:szCs w:val="20"/>
        </w:rPr>
        <w:t>Normalized read counts were converted to log</w:t>
      </w:r>
      <w:r w:rsidR="00700C7E" w:rsidRPr="00D02C43">
        <w:rPr>
          <w:sz w:val="22"/>
          <w:szCs w:val="20"/>
          <w:vertAlign w:val="subscript"/>
        </w:rPr>
        <w:t>2</w:t>
      </w:r>
      <w:r w:rsidR="00700C7E" w:rsidRPr="00D02C43">
        <w:rPr>
          <w:sz w:val="22"/>
          <w:szCs w:val="20"/>
        </w:rPr>
        <w:t xml:space="preserve"> counts per million reads with all subsequent analyses being performed on these normalized and log-transformed counts per million. </w:t>
      </w:r>
    </w:p>
    <w:p w14:paraId="4764FD7A" w14:textId="744BA7E5" w:rsidR="00025C57" w:rsidRPr="00D02C43" w:rsidRDefault="00EE13DD" w:rsidP="0031530D">
      <w:pPr>
        <w:ind w:firstLine="360"/>
        <w:rPr>
          <w:sz w:val="22"/>
          <w:szCs w:val="20"/>
        </w:rPr>
      </w:pPr>
      <w:r w:rsidRPr="00D02C43">
        <w:rPr>
          <w:sz w:val="22"/>
          <w:szCs w:val="20"/>
        </w:rPr>
        <w:t xml:space="preserve">To visualize differences between healthy and diseased microbiomes we estimated the microbial distance between coral colonies using the Raup-Crick distance based on presence/absence of ASVs </w:t>
      </w:r>
      <w:r w:rsidR="00C34DFB" w:rsidRPr="00D02C43">
        <w:rPr>
          <w:sz w:val="22"/>
          <w:szCs w:val="20"/>
        </w:rPr>
        <w:fldChar w:fldCharType="begin"/>
      </w:r>
      <w:r w:rsidR="00C34DFB" w:rsidRPr="00D02C43">
        <w:rPr>
          <w:sz w:val="22"/>
          <w:szCs w:val="20"/>
        </w:rPr>
        <w:instrText xml:space="preserve"> ADDIN ZOTERO_ITEM CSL_CITATION {"citationID":"wss7nGPt","properties":{"formattedCitation":"(Raup and Crick 1979, Chase et al. 2011)","plainCitation":"(Raup and Crick 1979, Chase et al. 2011)","noteIndex":0},"citationItems":[{"id":9096,"uris":["http://zotero.org/users/1538077/items/YJGRIBX6"],"itemData":{"id":9096,"type":"article-journal","abstract":"A probabilistic index of faunal similarity is proposed which compares the number of taxa common to two faunas with the number that would be expected to be in common if the taxa were distributed randomly. Departures of observed from expected numbers in common express the level of similarity or dissimilarity. The frequency of taxa in the whole data set is used to adjust for the differing probability of occurrence of taxa (cosmopolitan versus endemic). The new index can be used to determine whether similarities or dissimilarities between faunas are statistically significant. The index is tested with 1) modern biogeography of echinoids, 2) environmental distribution of modern foraminifera in Santa Monica Bay, and 3) Ordovician biogeography of nautiloids. In each case, the proposed index is more effective than traditional indexes of faunal similarity (Simpson, Jaccard, and Dice coefficients) in addition to the advantage of making possible rigorous assessment of statistical confidence. The index should also be useful in a biostratigraphic context. The computer program used for calculating the index is available from the authors.","container-title":"Journal of Paleontology","ISSN":"0022-3360","issue":"5","note":"publisher: Paleontological Society","page":"1213-1227","source":"JSTOR","title":"Measurement of Faunal Similarity in Paleontology","volume":"53","author":[{"family":"Raup","given":"David M."},{"family":"Crick","given":"Rex E."}],"issued":{"date-parts":[["1979"]]}}},{"id":9093,"uris":["http://zotero.org/users/1538077/items/43IU6RSQ"],"itemData":{"id":9093,"type":"article-journal","abstract":"β-diversity represents the compositional variation among communities from site-to-site, linking local (α-diversity) and regional (γ-diversity). Researchers often desire to compare values of β-diversity across localities or experimental treatments, and to use this comparison to infer possible mechanisms of community assembly. However, the majority of metrics used to estimate β-diversity, including most dissimilarity metrics (e.g., Jaccard's and Sørenson's dissimilarity index), can vary simply because of changes in the other two diversity components (α or γ-diversity).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α-diversity among localities or experimental treatments. We illustrate one particular approach, originally developed by Raup and Crick (1979) in the paleontological literature, which creates a re-scaled probability metric ranging from −1 to 1, indicating whether local communities are more dissimilar (approaching 1), as dissimilar (approaching 0), or less dissimilar (approaching −1), than expected by random chance. The value of this metric provides some indication of the possible underlying mechanisms of community assembly, in particular the degree to which deterministic processes create communities that deviate from those based on stochastic (null) expectations. We demonstrate the utility of this metric when compared to analyses of Jaccard's dissimilarity index with case studies from disparate empirical systems (coral reefs and freshwater ponds) that differ in the degree to which disturbance altered α-diversity, as well as the selectivity by which disturbance acted on members of the community.","container-title":"Ecosphere","DOI":"10.1890/ES10-00117.1","ISSN":"2150-8925","issue":"2","language":"en","license":"Copyright: © 2011 Chase et al.","note":"_eprint: https://onlinelibrary.wiley.com/doi/pdf/10.1890/ES10-00117.1","page":"art24","source":"Wiley Online Library","title":"Using null models to disentangle variation in community dissimilarity from variation in α-diversity","volume":"2","author":[{"family":"Chase","given":"Jonathan M."},{"family":"Kraft","given":"Nathan J. B."},{"family":"Smith","given":"Kevin G."},{"family":"Vellend","given":"Mark"},{"family":"Inouye","given":"Brian D"}],"issued":{"date-parts":[["2011"]]}}}],"schema":"https://github.com/citation-style-language/schema/raw/master/csl-citation.json"} </w:instrText>
      </w:r>
      <w:r w:rsidR="00C34DFB" w:rsidRPr="00D02C43">
        <w:rPr>
          <w:sz w:val="22"/>
          <w:szCs w:val="20"/>
        </w:rPr>
        <w:fldChar w:fldCharType="separate"/>
      </w:r>
      <w:r w:rsidR="00C34DFB" w:rsidRPr="00D02C43">
        <w:rPr>
          <w:rFonts w:cs="Times New Roman"/>
          <w:sz w:val="22"/>
          <w:szCs w:val="20"/>
        </w:rPr>
        <w:t>(Raup and Crick 1979, Chase et al. 2011)</w:t>
      </w:r>
      <w:r w:rsidR="00C34DFB" w:rsidRPr="00D02C43">
        <w:rPr>
          <w:sz w:val="22"/>
          <w:szCs w:val="20"/>
        </w:rPr>
        <w:fldChar w:fldCharType="end"/>
      </w:r>
      <w:r w:rsidRPr="00D02C43">
        <w:rPr>
          <w:sz w:val="22"/>
          <w:szCs w:val="20"/>
        </w:rPr>
        <w:t>.</w:t>
      </w:r>
      <w:r w:rsidR="00C34DFB" w:rsidRPr="00D02C43">
        <w:rPr>
          <w:sz w:val="22"/>
          <w:szCs w:val="20"/>
        </w:rPr>
        <w:t xml:space="preserve"> These distances were visualized using a non-metric multidimensional scaling (NMDS) plot </w:t>
      </w:r>
      <w:r w:rsidR="00C34DFB" w:rsidRPr="00D02C43">
        <w:rPr>
          <w:sz w:val="22"/>
          <w:szCs w:val="20"/>
        </w:rPr>
        <w:fldChar w:fldCharType="begin"/>
      </w:r>
      <w:r w:rsidR="00C34DFB" w:rsidRPr="00D02C43">
        <w:rPr>
          <w:sz w:val="22"/>
          <w:szCs w:val="20"/>
        </w:rPr>
        <w:instrText xml:space="preserve"> ADDIN ZOTERO_ITEM CSL_CITATION {"citationID":"Ec0er7pt","properties":{"formattedCitation":"(Legendre and Legendre 2012, Oksanen et al. 2013)","plainCitation":"(Legendre and Legendre 2012, Oksanen et al. 2013)","noteIndex":0},"citationItems":[{"id":2444,"uris":["http://zotero.org/users/1538077/items/SX8QHQWR"],"itemData":{"id":2444,"type":"book","abstract":"The book describes and discusses the numerical methods which are successfully being used for analysing ecological data, using a clear and comprehensive approach. These methods are derived from the fields of mathematical physics, parametric and nonparametric statistics, information theory, numerical taxonomy, archaeology, psychometry, sociometry, econometry and others.An updated, 3rd English edition of the most widely cited book on quantitative analysis of multivariate ecological dataRelates ecological questions to methods of statistical analysis, with a clear description of complex numerical methodsAll methods are illustrated by examples from the ecological literature so that ecologists clearly see how to use the methods and approaches in their own researchAll calculations are available in R language functions","edition":"3 edition","event-place":"Amsterdam","ISBN":"978-0-444-53868-0","language":"English","number-of-pages":"1006","publisher":"Elsevier","publisher-place":"Amsterdam","source":"Amazon","title":"Numerical Ecology, Volume 24, Third Edition","author":[{"family":"Legendre","given":"P."},{"family":"Legendre","given":"Loic F. J."}],"issued":{"date-parts":[["2012",8,20]]}}},{"id":964,"uris":["http://zotero.org/users/1538077/items/J973Q95F"],"itemData":{"id":964,"type":"software","publisher":"R package version 2.0-8","title":"vegan: Community Ecology Package","URL":"http://CRAN.R-project.org/package=vegan","author":[{"family":"Oksanen","given":"Jari"},{"family":"Blanchet","given":"F. Guillaume"},{"family":"Kindt","given":"Roeland"},{"family":"Legendre","given":"Pierre"},{"family":"Minchin","given":"Peter R."},{"family":"O'Hara","given":"R. B."},{"family":"Simpson","given":"Gavin L."},{"family":"Solymos","given":"Peter"},{"family":"Stevens","given":"M. Henry"},{"family":"Wagner","given":"Helene"}],"issued":{"date-parts":[["2013"]]}}}],"schema":"https://github.com/citation-style-language/schema/raw/master/csl-citation.json"} </w:instrText>
      </w:r>
      <w:r w:rsidR="00C34DFB" w:rsidRPr="00D02C43">
        <w:rPr>
          <w:sz w:val="22"/>
          <w:szCs w:val="20"/>
        </w:rPr>
        <w:fldChar w:fldCharType="separate"/>
      </w:r>
      <w:r w:rsidR="00C34DFB" w:rsidRPr="00D02C43">
        <w:rPr>
          <w:rFonts w:cs="Times New Roman"/>
          <w:sz w:val="22"/>
          <w:szCs w:val="20"/>
        </w:rPr>
        <w:t>(Legendre and Legendre 2012, Oksanen et al. 2013)</w:t>
      </w:r>
      <w:r w:rsidR="00C34DFB" w:rsidRPr="00D02C43">
        <w:rPr>
          <w:sz w:val="22"/>
          <w:szCs w:val="20"/>
        </w:rPr>
        <w:fldChar w:fldCharType="end"/>
      </w:r>
      <w:r w:rsidR="00C34DFB" w:rsidRPr="00D02C43">
        <w:rPr>
          <w:sz w:val="22"/>
          <w:szCs w:val="20"/>
        </w:rPr>
        <w:t xml:space="preserve">. We used a permutational ANOVA </w:t>
      </w:r>
      <w:r w:rsidR="00025C57" w:rsidRPr="00D02C43">
        <w:rPr>
          <w:sz w:val="22"/>
          <w:szCs w:val="20"/>
        </w:rPr>
        <w:t xml:space="preserve">with 10,000 permutations </w:t>
      </w:r>
      <w:r w:rsidR="00C34DFB" w:rsidRPr="00D02C43">
        <w:rPr>
          <w:sz w:val="22"/>
          <w:szCs w:val="20"/>
        </w:rPr>
        <w:t xml:space="preserve">to </w:t>
      </w:r>
      <w:r w:rsidR="001F21B5" w:rsidRPr="00D02C43">
        <w:rPr>
          <w:sz w:val="22"/>
          <w:szCs w:val="20"/>
        </w:rPr>
        <w:t xml:space="preserve">first </w:t>
      </w:r>
      <w:r w:rsidR="00C34DFB" w:rsidRPr="00D02C43">
        <w:rPr>
          <w:sz w:val="22"/>
          <w:szCs w:val="20"/>
        </w:rPr>
        <w:t xml:space="preserve">test for differences </w:t>
      </w:r>
      <w:r w:rsidR="001F21B5" w:rsidRPr="00D02C43">
        <w:rPr>
          <w:sz w:val="22"/>
          <w:szCs w:val="20"/>
        </w:rPr>
        <w:t xml:space="preserve">between healthy and diseased colony microbiomes and secondarily test for differences </w:t>
      </w:r>
      <w:r w:rsidR="00C34DFB" w:rsidRPr="00D02C43">
        <w:rPr>
          <w:sz w:val="22"/>
          <w:szCs w:val="20"/>
        </w:rPr>
        <w:t xml:space="preserve">based on </w:t>
      </w:r>
      <w:r w:rsidR="001F21B5" w:rsidRPr="00D02C43">
        <w:rPr>
          <w:sz w:val="22"/>
          <w:szCs w:val="20"/>
        </w:rPr>
        <w:t xml:space="preserve">sampling </w:t>
      </w:r>
      <w:r w:rsidR="00025C57" w:rsidRPr="00D02C43">
        <w:rPr>
          <w:sz w:val="22"/>
          <w:szCs w:val="20"/>
        </w:rPr>
        <w:t>season, year, and site.</w:t>
      </w:r>
    </w:p>
    <w:p w14:paraId="532D02FD" w14:textId="05FAD3D3" w:rsidR="00250CA9" w:rsidRPr="00D02C43" w:rsidRDefault="00250CA9" w:rsidP="00250CA9">
      <w:pPr>
        <w:pStyle w:val="Heading2"/>
        <w:rPr>
          <w:sz w:val="22"/>
          <w:szCs w:val="24"/>
        </w:rPr>
      </w:pPr>
      <w:r w:rsidRPr="00D02C43">
        <w:rPr>
          <w:sz w:val="22"/>
          <w:szCs w:val="24"/>
        </w:rPr>
        <w:t>Model Training and ASV Identification</w:t>
      </w:r>
    </w:p>
    <w:p w14:paraId="033FC521" w14:textId="5E94E3BB" w:rsidR="00700C7E" w:rsidRPr="00D02C43" w:rsidRDefault="00E85A4F" w:rsidP="00B7645A">
      <w:pPr>
        <w:ind w:firstLine="360"/>
        <w:rPr>
          <w:sz w:val="22"/>
          <w:szCs w:val="20"/>
        </w:rPr>
      </w:pPr>
      <w:r w:rsidRPr="00D02C43">
        <w:rPr>
          <w:sz w:val="22"/>
          <w:szCs w:val="20"/>
        </w:rPr>
        <w:t>ASVs associated with diseased corals were identified using a</w:t>
      </w:r>
      <w:r w:rsidR="00C12156" w:rsidRPr="00D02C43">
        <w:rPr>
          <w:sz w:val="22"/>
          <w:szCs w:val="20"/>
        </w:rPr>
        <w:t>n ensemble</w:t>
      </w:r>
      <w:r w:rsidRPr="00D02C43">
        <w:rPr>
          <w:sz w:val="22"/>
          <w:szCs w:val="20"/>
        </w:rPr>
        <w:t xml:space="preserve"> set of five distinct machine learning models (lasso logistic regression</w:t>
      </w:r>
      <w:r w:rsidR="00B7645A" w:rsidRPr="00D02C43">
        <w:rPr>
          <w:sz w:val="22"/>
          <w:szCs w:val="20"/>
        </w:rPr>
        <w:t xml:space="preserve"> </w:t>
      </w:r>
      <w:r w:rsidR="00B7645A" w:rsidRPr="00D02C43">
        <w:rPr>
          <w:sz w:val="22"/>
          <w:szCs w:val="20"/>
        </w:rPr>
        <w:fldChar w:fldCharType="begin"/>
      </w:r>
      <w:r w:rsidR="00B7645A" w:rsidRPr="00D02C43">
        <w:rPr>
          <w:sz w:val="22"/>
          <w:szCs w:val="20"/>
        </w:rPr>
        <w:instrText xml:space="preserve"> ADDIN ZOTERO_ITEM CSL_CITATION {"citationID":"eC7N3HaN","properties":{"formattedCitation":"(Friedman et al. 2010)","plainCitation":"(Friedman et al. 2010)","noteIndex":0},"citationItems":[{"id":9112,"uris":["http://zotero.org/users/1538077/items/8B8V8ZRS"],"itemData":{"id":9112,"type":"article-journal","container-title":"Journal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(Friedman et al. 2010)</w:t>
      </w:r>
      <w:r w:rsidR="00B7645A" w:rsidRPr="00D02C43">
        <w:rPr>
          <w:sz w:val="22"/>
          <w:szCs w:val="20"/>
        </w:rPr>
        <w:fldChar w:fldCharType="end"/>
      </w:r>
      <w:r w:rsidRPr="00D02C43">
        <w:rPr>
          <w:sz w:val="22"/>
          <w:szCs w:val="20"/>
        </w:rPr>
        <w:t>, random forest</w:t>
      </w:r>
      <w:r w:rsidR="00B7645A" w:rsidRPr="00D02C43">
        <w:rPr>
          <w:sz w:val="22"/>
          <w:szCs w:val="20"/>
        </w:rPr>
        <w:t xml:space="preserve"> </w:t>
      </w:r>
      <w:r w:rsidR="00B7645A" w:rsidRPr="00D02C43">
        <w:rPr>
          <w:sz w:val="22"/>
          <w:szCs w:val="20"/>
        </w:rPr>
        <w:fldChar w:fldCharType="begin"/>
      </w:r>
      <w:r w:rsidR="00B7645A" w:rsidRPr="00D02C43">
        <w:rPr>
          <w:sz w:val="22"/>
          <w:szCs w:val="20"/>
        </w:rPr>
        <w:instrText xml:space="preserve"> ADDIN ZOTERO_ITEM CSL_CITATION {"citationID":"pceFV9zX","properties":{"formattedCitation":"(Wright and Ziegler 2017)","plainCitation":"(Wright and Ziegler 2017)","noteIndex":0},"citationItems":[{"id":9117,"uris":["http://zotero.org/users/1538077/items/XXMNLNC5"],"itemData":{"id":9117,"type":"article-journal","container-title":"Journal of Statistical Software","DOI":"10.18637/jss.v077.i01","issue":"1","page":"1–17","title":"ranger: A Fast Implementation of Random Forests for High Dimensional Data in C++ and R","volume":"77","author":[{"family":"Wright","given":"Marvin N."},{"family":"Ziegler","given":"Andreas"}],"issued":{"date-parts":[["2017"]]}}}],"schema":"https://github.com/citation-style-language/schema/raw/master/csl-citation.json"}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(Wright and Ziegler 2017)</w:t>
      </w:r>
      <w:r w:rsidR="00B7645A" w:rsidRPr="00D02C43">
        <w:rPr>
          <w:sz w:val="22"/>
          <w:szCs w:val="20"/>
        </w:rPr>
        <w:fldChar w:fldCharType="end"/>
      </w:r>
      <w:r w:rsidRPr="00D02C43">
        <w:rPr>
          <w:sz w:val="22"/>
          <w:szCs w:val="20"/>
        </w:rPr>
        <w:t xml:space="preserve">, </w:t>
      </w:r>
      <w:r w:rsidR="004846E3" w:rsidRPr="00D02C43">
        <w:rPr>
          <w:sz w:val="22"/>
          <w:szCs w:val="20"/>
        </w:rPr>
        <w:t>multilayer perceptron</w:t>
      </w:r>
      <w:r w:rsidR="00B7645A" w:rsidRPr="00D02C43">
        <w:rPr>
          <w:sz w:val="22"/>
          <w:szCs w:val="20"/>
        </w:rPr>
        <w:t xml:space="preserve"> </w:t>
      </w:r>
      <w:r w:rsidR="00B7645A" w:rsidRPr="00D02C43">
        <w:rPr>
          <w:sz w:val="22"/>
          <w:szCs w:val="20"/>
        </w:rPr>
        <w:fldChar w:fldCharType="begin"/>
      </w:r>
      <w:r w:rsidR="00B7645A" w:rsidRPr="00D02C43">
        <w:rPr>
          <w:sz w:val="22"/>
          <w:szCs w:val="20"/>
        </w:rPr>
        <w:instrText xml:space="preserve"> ADDIN ZOTERO_ITEM CSL_CITATION {"citationID":"Kv8YHkff","properties":{"formattedCitation":"(Collobert et al. 2011, Kuhn and Falbel 2022, Falbel and Luraschi 2023)","plainCitation":"(Collobert et al. 2011, Kuhn and Falbel 2022, Falbel and Luraschi 2023)","noteIndex":0},"citationItems":[{"id":9113,"uris":["http://zotero.org/users/1538077/items/TZMR8CAA"],"itemData":{"id":9113,"type":"paper-conference","container-title":"BigLearn, NIPS Workshop","title":"Torch7: A Matlab-like Environment for Machine Learning","author":[{"family":"Collobert","given":"R."},{"family":"Kavukcuoglu","given":"K."},{"family":"Farabet","given":"C."}],"issued":{"date-parts":[["2011"]]}}},{"id":9108,"uris":["http://zotero.org/users/1538077/items/YN939I8L"],"itemData":{"id":9108,"type":"software","title":"brulee: High-Level Modeling Functions with 'torch'","URL":"https://CRAN.R-project.org/package=brulee","author":[{"family":"Kuhn","given":"Max"},{"family":"Falbel","given":"Daniel"}],"issued":{"date-parts":[["2022"]]}}},{"id":9110,"uris":["http://zotero.org/users/1538077/items/THK6VK6A"],"itemData":{"id":9110,"type":"software","title":"torch: Tensors and Neural Networks with 'GPU' Acceleration","URL":"https://CRAN.R-project.org/package=torch","author":[{"family":"Falbel","given":"Daniel"},{"family":"Luraschi","given":"Javier"}],"issued":{"date-parts":[["2023"]]}}}],"schema":"https://github.com/citation-style-language/schema/raw/master/csl-citation.json"}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(Collobert et al. 2011, Kuhn and Falbel 2022, Falbel and Luraschi 2023)</w:t>
      </w:r>
      <w:r w:rsidR="00B7645A" w:rsidRPr="00D02C43">
        <w:rPr>
          <w:sz w:val="22"/>
          <w:szCs w:val="20"/>
        </w:rPr>
        <w:fldChar w:fldCharType="end"/>
      </w:r>
      <w:r w:rsidRPr="00D02C43">
        <w:rPr>
          <w:sz w:val="22"/>
          <w:szCs w:val="20"/>
        </w:rPr>
        <w:t>, linear support vector machine</w:t>
      </w:r>
      <w:r w:rsidR="00B7645A" w:rsidRPr="00D02C43">
        <w:rPr>
          <w:sz w:val="22"/>
          <w:szCs w:val="20"/>
        </w:rPr>
        <w:t xml:space="preserve"> </w:t>
      </w:r>
      <w:r w:rsidR="00B7645A" w:rsidRPr="00D02C43">
        <w:rPr>
          <w:sz w:val="22"/>
          <w:szCs w:val="20"/>
        </w:rPr>
        <w:fldChar w:fldCharType="begin"/>
      </w:r>
      <w:r w:rsidR="00B7645A" w:rsidRPr="00D02C43">
        <w:rPr>
          <w:sz w:val="22"/>
          <w:szCs w:val="20"/>
        </w:rPr>
        <w:instrText xml:space="preserve"> ADDIN ZOTERO_ITEM CSL_CITATION {"citationID":"Ygv5Joyh","properties":{"formattedCitation":"(Karatzoglou et al. 2004, 2022)","plainCitation":"(Karatzoglou et al. 2004, 2022)","noteIndex":0},"citationItems":[{"id":9116,"uris":["http://zotero.org/users/1538077/items/7FN6YS2G"],"itemData":{"id":9116,"type":"article-journal","container-title":"Journal of Statistical Software","DOI":"10.18637/jss.v011.i09","issue":"9","page":"1–20","title":"kernlab – An S4 Package for Kernel Methods in R","volume":"11","author":[{"family":"Karatzoglou","given":"Alexandros"},{"family":"Smola","given":"Alex"},{"family":"Hornik","given":"Kurt"},{"family":"Zeileis","given":"Achim"}],"issued":{"date-parts":[["2004"]]}}},{"id":9114,"uris":["http://zotero.org/users/1538077/items/QUA2GPJF"],"itemData":{"id":9114,"type":"software","title":"kernlab: Kernel-Based Machine Learning Lab","URL":"https://CRAN.R-project.org/package=kernlab","author":[{"family":"Karatzoglou","given":"Alexandros"},{"family":"Smola","given":"Alex"},{"family":"Hornik","given":"Kurt"}],"issued":{"date-parts":[["2022"]]}}}],"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(Karatzoglou et al. 2004, 2022)</w:t>
      </w:r>
      <w:r w:rsidR="00B7645A" w:rsidRPr="00D02C43">
        <w:rPr>
          <w:sz w:val="22"/>
          <w:szCs w:val="20"/>
        </w:rPr>
        <w:fldChar w:fldCharType="end"/>
      </w:r>
      <w:r w:rsidRPr="00D02C43">
        <w:rPr>
          <w:sz w:val="22"/>
          <w:szCs w:val="20"/>
        </w:rPr>
        <w:t>, partial least squares</w:t>
      </w:r>
      <w:r w:rsidR="00B7645A" w:rsidRPr="00D02C43">
        <w:rPr>
          <w:sz w:val="22"/>
          <w:szCs w:val="20"/>
        </w:rPr>
        <w:t xml:space="preserve"> </w:t>
      </w:r>
      <w:r w:rsidR="00B7645A" w:rsidRPr="00D02C43">
        <w:rPr>
          <w:sz w:val="22"/>
          <w:szCs w:val="20"/>
        </w:rPr>
        <w:fldChar w:fldCharType="begin"/>
      </w:r>
      <w:r w:rsidR="00B7645A" w:rsidRPr="00D02C43">
        <w:rPr>
          <w:sz w:val="22"/>
          <w:szCs w:val="20"/>
        </w:rPr>
        <w:instrText xml:space="preserve"> ADDIN ZOTERO_ITEM CSL_CITATION {"citationID":"Vo3aPCam","properties":{"formattedCitation":"(Rohart et al. 2017)","plainCitation":"(Rohart et al. 2017)","noteIndex":0},"citationItems":[{"id":9081,"uris":["http://zotero.org/users/1538077/items/Z47Q4A92"],"itemData":{"id":9081,"type":"article-journal","abstract":"The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package.","container-title":"PLOS Computational Biology","DOI":"10.1371/journal.pcbi.1005752","ISSN":"1553-7358","issue":"11","journalAbbreviation":"PLOS Computational Biology","language":"en","note":"publisher: Public Library of Science","page":"e1005752","source":"PLoS Journals","title":"mixOmics: An R package for ‘omics feature selection and multiple data integration","title-short":"mixOmics","volume":"13","author":[{"family":"Rohart","given":"Florian"},{"family":"Gautier","given":"Benoît"},{"family":"Singh","given":"Amrit"},{"family":"Cao","given":"Kim-Anh Lê"}],"issued":{"date-parts":[["2017",11,3]]}}}],"schema":"https://github.com/citation-style-language/schema/raw/master/csl-citation.json"}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(Rohart et al. 2017)</w:t>
      </w:r>
      <w:r w:rsidR="00B7645A" w:rsidRPr="00D02C43">
        <w:rPr>
          <w:sz w:val="22"/>
          <w:szCs w:val="20"/>
        </w:rPr>
        <w:fldChar w:fldCharType="end"/>
      </w:r>
      <w:r w:rsidR="00B45569" w:rsidRPr="00D02C43">
        <w:rPr>
          <w:sz w:val="22"/>
          <w:szCs w:val="20"/>
        </w:rPr>
        <w:t xml:space="preserve">, and K-nearest neighbors </w:t>
      </w:r>
      <w:r w:rsidR="00B45569" w:rsidRPr="00D02C43">
        <w:rPr>
          <w:sz w:val="22"/>
          <w:szCs w:val="20"/>
        </w:rPr>
        <w:fldChar w:fldCharType="begin"/>
      </w:r>
      <w:r w:rsidR="00B45569" w:rsidRPr="00D02C43">
        <w:rPr>
          <w:sz w:val="22"/>
          <w:szCs w:val="20"/>
        </w:rPr>
        <w:instrText xml:space="preserve"> ADDIN ZOTERO_ITEM CSL_CITATION {"citationID":"Pcn9YYp9","properties":{"formattedCitation":"(Schliep and Hechenbichler 2016)","plainCitation":"(Schliep and Hechenbichler 2016)","noteIndex":0},"citationItems":[{"id":9129,"uris":["http://zotero.org/users/1538077/items/YB675YX7"],"itemData":{"id":9129,"type":"software","title":"kknn: Weighted k-Nearest Neighbors","URL":"https://CRAN.R-project.org/package=kknn","author":[{"family":"Schliep","given":"Klaus"},{"family":"Hechenbichler","given":"Klaus"}],"issued":{"date-parts":[["2016"]]}}}],"schema":"https://github.com/citation-style-language/schema/raw/master/csl-citation.json"} </w:instrText>
      </w:r>
      <w:r w:rsidR="00B45569" w:rsidRPr="00D02C43">
        <w:rPr>
          <w:sz w:val="22"/>
          <w:szCs w:val="20"/>
        </w:rPr>
        <w:fldChar w:fldCharType="separate"/>
      </w:r>
      <w:r w:rsidR="00B45569" w:rsidRPr="00D02C43">
        <w:rPr>
          <w:rFonts w:cs="Times New Roman"/>
          <w:sz w:val="22"/>
          <w:szCs w:val="20"/>
        </w:rPr>
        <w:t>(Schliep and Hechenbichler 2016)</w:t>
      </w:r>
      <w:r w:rsidR="00B45569" w:rsidRPr="00D02C43">
        <w:rPr>
          <w:sz w:val="22"/>
          <w:szCs w:val="20"/>
        </w:rPr>
        <w:fldChar w:fldCharType="end"/>
      </w:r>
      <w:r w:rsidRPr="00D02C43">
        <w:rPr>
          <w:sz w:val="22"/>
          <w:szCs w:val="20"/>
        </w:rPr>
        <w:t xml:space="preserve">). </w:t>
      </w:r>
      <w:r w:rsidR="008A77B2" w:rsidRPr="00D02C43">
        <w:rPr>
          <w:sz w:val="22"/>
          <w:szCs w:val="20"/>
        </w:rPr>
        <w:t xml:space="preserve">Prior to model fitting </w:t>
      </w:r>
      <w:r w:rsidR="00700C7E" w:rsidRPr="00D02C43">
        <w:rPr>
          <w:sz w:val="22"/>
          <w:szCs w:val="20"/>
        </w:rPr>
        <w:t xml:space="preserve">the dataset was split into training (75%) and testing (25%) sets </w:t>
      </w:r>
      <w:r w:rsidR="008A77B2" w:rsidRPr="00D02C43">
        <w:rPr>
          <w:sz w:val="22"/>
          <w:szCs w:val="20"/>
        </w:rPr>
        <w:t xml:space="preserve">to reduce overfitting </w:t>
      </w:r>
      <w:r w:rsidR="00700C7E" w:rsidRPr="00D02C43">
        <w:rPr>
          <w:sz w:val="22"/>
          <w:szCs w:val="20"/>
        </w:rPr>
        <w:t xml:space="preserve">with all model tuning being done using the training set and only using the test set to calculate the final model metrics (e.g., accuracy). </w:t>
      </w:r>
      <w:r w:rsidR="008A77B2" w:rsidRPr="00D02C43">
        <w:rPr>
          <w:sz w:val="22"/>
          <w:szCs w:val="20"/>
        </w:rPr>
        <w:t>A</w:t>
      </w:r>
      <w:r w:rsidR="00025C57" w:rsidRPr="00D02C43">
        <w:rPr>
          <w:sz w:val="22"/>
          <w:szCs w:val="20"/>
        </w:rPr>
        <w:t xml:space="preserve">ll ASVs </w:t>
      </w:r>
      <w:r w:rsidR="008A77B2" w:rsidRPr="00D02C43">
        <w:rPr>
          <w:sz w:val="22"/>
          <w:szCs w:val="20"/>
        </w:rPr>
        <w:t>were preprocessed by first removing</w:t>
      </w:r>
      <w:r w:rsidR="00025C57" w:rsidRPr="00D02C43">
        <w:rPr>
          <w:sz w:val="22"/>
          <w:szCs w:val="20"/>
        </w:rPr>
        <w:t xml:space="preserve"> </w:t>
      </w:r>
      <w:r w:rsidR="008A77B2" w:rsidRPr="00D02C43">
        <w:rPr>
          <w:sz w:val="22"/>
          <w:szCs w:val="20"/>
        </w:rPr>
        <w:t xml:space="preserve">ASVs with </w:t>
      </w:r>
      <w:r w:rsidR="00025C57" w:rsidRPr="00D02C43">
        <w:rPr>
          <w:sz w:val="22"/>
          <w:szCs w:val="20"/>
        </w:rPr>
        <w:t xml:space="preserve">near-zero variance. The remaining ASV counts were normalized using the Yeo Johnson transformation and then center and scaled to have a mean of 0 and standard deviation of 1 </w:t>
      </w:r>
      <w:r w:rsidR="00025C57" w:rsidRPr="00D02C43">
        <w:rPr>
          <w:sz w:val="22"/>
          <w:szCs w:val="20"/>
        </w:rPr>
        <w:fldChar w:fldCharType="begin"/>
      </w:r>
      <w:r w:rsidR="00025C57" w:rsidRPr="00D02C43">
        <w:rPr>
          <w:sz w:val="22"/>
          <w:szCs w:val="20"/>
        </w:rPr>
        <w:instrText xml:space="preserve"> ADDIN ZOTERO_ITEM CSL_CITATION {"citationID":"4Bv2CfTs","properties":{"formattedCitation":"(Yeo and Johnson 2000)","plainCitation":"(Yeo and Johnson 2000)","noteIndex":0},"citationItems":[{"id":2692,"uris":["http://zotero.org/users/1538077/items/MEXY5C5E"],"itemData":{"id":2692,"type":"article-journal","container-title":"Biometrika","issue":"4","note":"ISBN: 1464-3510\npublisher: Oxford University Press","page":"954-959","title":"A new family of power transformations to improve normality or symmetry","volume":"87","author":[{"family":"Yeo","given":"In-Kwon"},{"family":"Johnson","given":"Richard A."}],"issued":{"date-parts":[["2000"]]}}}],"schema":"https://github.com/citation-style-language/schema/raw/master/csl-citation.json"} </w:instrText>
      </w:r>
      <w:r w:rsidR="00025C57" w:rsidRPr="00D02C43">
        <w:rPr>
          <w:sz w:val="22"/>
          <w:szCs w:val="20"/>
        </w:rPr>
        <w:fldChar w:fldCharType="separate"/>
      </w:r>
      <w:r w:rsidR="00025C57" w:rsidRPr="00D02C43">
        <w:rPr>
          <w:rFonts w:cs="Times New Roman"/>
          <w:sz w:val="22"/>
          <w:szCs w:val="20"/>
        </w:rPr>
        <w:t>(Yeo and Johnson 2000)</w:t>
      </w:r>
      <w:r w:rsidR="00025C57" w:rsidRPr="00D02C43">
        <w:rPr>
          <w:sz w:val="22"/>
          <w:szCs w:val="20"/>
        </w:rPr>
        <w:fldChar w:fldCharType="end"/>
      </w:r>
      <w:r w:rsidR="00025C57" w:rsidRPr="00D02C43">
        <w:rPr>
          <w:sz w:val="22"/>
          <w:szCs w:val="20"/>
        </w:rPr>
        <w:t>.</w:t>
      </w:r>
      <w:r w:rsidR="004A5157" w:rsidRPr="00D02C43">
        <w:rPr>
          <w:sz w:val="22"/>
          <w:szCs w:val="20"/>
        </w:rPr>
        <w:t xml:space="preserve"> </w:t>
      </w:r>
      <w:r w:rsidR="008A77B2" w:rsidRPr="00D02C43">
        <w:rPr>
          <w:sz w:val="22"/>
          <w:szCs w:val="20"/>
        </w:rPr>
        <w:t xml:space="preserve">The </w:t>
      </w:r>
      <w:r w:rsidR="00C41A46" w:rsidRPr="00D02C43">
        <w:rPr>
          <w:sz w:val="22"/>
          <w:szCs w:val="20"/>
        </w:rPr>
        <w:t>models</w:t>
      </w:r>
      <w:r w:rsidR="008A77B2" w:rsidRPr="00D02C43">
        <w:rPr>
          <w:sz w:val="22"/>
          <w:szCs w:val="20"/>
        </w:rPr>
        <w:t xml:space="preserve"> were chosen to represent </w:t>
      </w:r>
      <w:r w:rsidR="006053D4" w:rsidRPr="00D02C43">
        <w:rPr>
          <w:sz w:val="22"/>
          <w:szCs w:val="20"/>
        </w:rPr>
        <w:t>a diversity</w:t>
      </w:r>
      <w:r w:rsidR="008A77B2" w:rsidRPr="00D02C43">
        <w:rPr>
          <w:sz w:val="22"/>
          <w:szCs w:val="20"/>
        </w:rPr>
        <w:t xml:space="preserve"> of machine learning classification models </w:t>
      </w:r>
      <w:r w:rsidR="00147C05" w:rsidRPr="00D02C43">
        <w:rPr>
          <w:sz w:val="22"/>
          <w:szCs w:val="20"/>
        </w:rPr>
        <w:t xml:space="preserve">with the thought that they may select different important features for predicting coral disease state </w:t>
      </w:r>
      <w:r w:rsidR="006053D4" w:rsidRPr="00D02C43">
        <w:rPr>
          <w:sz w:val="22"/>
          <w:szCs w:val="20"/>
        </w:rPr>
        <w:fldChar w:fldCharType="begin"/>
      </w:r>
      <w:r w:rsidR="006053D4" w:rsidRPr="00D02C43">
        <w:rPr>
          <w:sz w:val="22"/>
          <w:szCs w:val="20"/>
        </w:rPr>
        <w:instrText xml:space="preserve"> ADDIN ZOTERO_ITEM CSL_CITATION {"citationID":"aFtZZlQ3","properties":{"formattedCitation":"(Bol\\uc0\\u243{}n-Canedo and Alonso-Betanzos 2019)","plainCitation":"(Bolón-Canedo and Alonso-Betanzos 2019)","noteIndex":0},"citationItems":[{"id":9126,"uris":["http://zotero.org/users/1538077/items/JCYJ6JXV"],"itemData":{"id":9126,"type":"article-journal","abstract":"Ensemble learning is a prolific field in Machine Learning since it is based on the assumption that combining the output of multiple models is better than using a single model, and it usually provides good results. Normally, it has been commonly employed for classification, but it can be used to improve other disciplines such as feature selection. Feature selection consists of selecting the relevant features for a problem and discard those irrelevant or redundant, with the main goal of improving classification accuracy. In this work, we provide the reader with the basic concepts necessary to build an ensemble for feature selection, as well as reviewing the up-to-date advances and commenting on the future trends that are still to be faced.","container-title":"Information Fusion","DOI":"10.1016/j.inffus.2018.11.008","ISSN":"1566-2535","journalAbbreviation":"Information Fusion","page":"1-12","source":"ScienceDirect","title":"Ensembles for feature selection: A review and future trends","title-short":"Ensembles for feature selection","volume":"52","author":[{"family":"Bolón-Canedo","given":"Verónica"},{"family":"Alonso-Betanzos","given":"Amparo"}],"issued":{"date-parts":[["2019",12,1]]}}}],"schema":"https://github.com/citation-style-language/schema/raw/master/csl-citation.json"} </w:instrText>
      </w:r>
      <w:r w:rsidR="006053D4" w:rsidRPr="00D02C43">
        <w:rPr>
          <w:sz w:val="22"/>
          <w:szCs w:val="20"/>
        </w:rPr>
        <w:fldChar w:fldCharType="separate"/>
      </w:r>
      <w:r w:rsidR="006053D4" w:rsidRPr="00D02C43">
        <w:rPr>
          <w:rFonts w:cs="Times New Roman"/>
          <w:kern w:val="0"/>
          <w:sz w:val="22"/>
        </w:rPr>
        <w:t>(Bolón-Canedo and Alonso-Betanzos 2019)</w:t>
      </w:r>
      <w:r w:rsidR="006053D4" w:rsidRPr="00D02C43">
        <w:rPr>
          <w:sz w:val="22"/>
          <w:szCs w:val="20"/>
        </w:rPr>
        <w:fldChar w:fldCharType="end"/>
      </w:r>
      <w:r w:rsidR="00B7645A" w:rsidRPr="00D02C43">
        <w:rPr>
          <w:sz w:val="22"/>
          <w:szCs w:val="20"/>
        </w:rPr>
        <w:t xml:space="preserve">. Looking at </w:t>
      </w:r>
      <w:r w:rsidR="00147C05" w:rsidRPr="00D02C43">
        <w:rPr>
          <w:sz w:val="22"/>
          <w:szCs w:val="20"/>
        </w:rPr>
        <w:t xml:space="preserve">ASVs identified across multiple models </w:t>
      </w:r>
      <w:r w:rsidR="00B7645A" w:rsidRPr="00D02C43">
        <w:rPr>
          <w:sz w:val="22"/>
          <w:szCs w:val="20"/>
        </w:rPr>
        <w:t xml:space="preserve">therefore </w:t>
      </w:r>
      <w:r w:rsidR="00147C05" w:rsidRPr="00D02C43">
        <w:rPr>
          <w:sz w:val="22"/>
          <w:szCs w:val="20"/>
        </w:rPr>
        <w:t xml:space="preserve">are likely to be candidates for investigation as putative pathogens, opportunists or </w:t>
      </w:r>
      <w:r w:rsidR="00B7645A" w:rsidRPr="00D02C43">
        <w:rPr>
          <w:sz w:val="22"/>
          <w:szCs w:val="20"/>
        </w:rPr>
        <w:t xml:space="preserve">beneficial bacteria </w:t>
      </w:r>
      <w:r w:rsidR="00B7645A" w:rsidRPr="00D02C43">
        <w:rPr>
          <w:sz w:val="22"/>
          <w:szCs w:val="20"/>
        </w:rPr>
        <w:fldChar w:fldCharType="begin"/>
      </w:r>
      <w:r w:rsidR="00B7645A" w:rsidRPr="00D02C43">
        <w:rPr>
          <w:sz w:val="22"/>
          <w:szCs w:val="20"/>
        </w:rPr>
        <w:instrText xml:space="preserve"> ADDIN ZOTERO_ITEM CSL_CITATION {"citationID":"A40aNMzT","properties":{"formattedCitation":"(Vega Thurber et al. 2020)","plainCitation":"(Vega Thurber et al. 2020)","noteIndex":0},"citationItems":[{"id":8846,"uris":["http://zotero.org/users/1538077/items/6RAPBDUJ"],"itemData":{"id":8846,"type":"article-journal","abstract":"Diseases of tropical reef organisms is an intensive area of study, but despite significant advances in methodology and the global knowledge base, identifying the proximate causes of disease outbreaks remains difficult. The dynamics of infectious wildlife diseases are known to be influenced by shifting interactions among the host, pathogen, and other members of the microbiome, and a collective body of work clearly demonstrates that this is also the case for the main foundation species on reefs, corals. Yet, among wildlife, outbreaks of coral diseases stand out as being driven largely by a changing environment. These outbreaks contributed not only to significant losses of coral species but also to whole ecosystem regime shifts. Here we suggest that to better decipher the disease dynamics of corals, we must integrate more holistic and modern paradigms that consider multiple and variable interactions among the three major players in epizootics: the host, its associated microbiome, and the environment. In this perspective, we discuss how expanding the pathogen component of the classic host-pathogen-environment disease triad to incorporate shifts in the microbiome leading to dysbiosis provides a better model for understanding coral disease dynamics. We outline and discuss issues arising when evaluating each component of this trio and make suggestions for bridging gaps between them. We further suggest that to best tackle these challenges, researchers must adjust standard paradigms, like the classic one pathogen-one disease model, that, to date, have been ineffectual at uncovering many of the emergent properties of coral reef disease dynamics. Lastly, we make recommendations for ways forward in the fields of marine disease ecology and the future of coral reef conservation and restoration given these observations.","container-title":"Frontiers in Ecology and Evolution","ISSN":"2296-701X","source":"Frontiers","title":"Deciphering Coral Disease Dynamics: Integrating Host, Microbiome, and the Changing Environment","title-short":"Deciphering Coral Disease Dynamics","URL":"https://www.frontiersin.org/articles/10.3389/fevo.2020.575927","volume":"8","author":[{"family":"Vega Thurber","given":"Rebecca"},{"family":"Mydlarz","given":"Laura D."},{"family":"Brandt","given":"Marilyn"},{"family":"Harvell","given":"Drew"},{"family":"Weil","given":"Ernesto"},{"family":"Raymundo","given":"Laurie"},{"family":"Willis","given":"Bette L."},{"family":"Langevin","given":"Stan"},{"family":"Tracy","given":"Allison M."},{"family":"Littman","given":"Raechel"},{"family":"Kemp","given":"Keri M."},{"family":"Dawkins","given":"Phoebe"},{"family":"Prager","given":"Katherine C."},{"family":"Garren","given":"Melissa"},{"family":"Lamb","given":"Joleah"}],"accessed":{"date-parts":[["2023",6,29]]},"issued":{"date-parts":[["2020"]]}}}],"schema":"https://github.com/citation-style-language/schema/raw/master/csl-citation.json"}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(Vega Thurber et al. 2020)</w:t>
      </w:r>
      <w:r w:rsidR="00B7645A" w:rsidRPr="00D02C43">
        <w:rPr>
          <w:sz w:val="22"/>
          <w:szCs w:val="20"/>
        </w:rPr>
        <w:fldChar w:fldCharType="end"/>
      </w:r>
      <w:r w:rsidR="00B7645A" w:rsidRPr="00D02C43">
        <w:rPr>
          <w:sz w:val="22"/>
          <w:szCs w:val="20"/>
        </w:rPr>
        <w:t>.</w:t>
      </w:r>
    </w:p>
    <w:p w14:paraId="33A6794D" w14:textId="719CA6BC" w:rsidR="00A00B14" w:rsidRPr="00D02C43" w:rsidRDefault="00A00B14" w:rsidP="00C86FA0">
      <w:pPr>
        <w:ind w:firstLine="360"/>
        <w:rPr>
          <w:sz w:val="22"/>
          <w:szCs w:val="20"/>
        </w:rPr>
      </w:pPr>
      <w:r w:rsidRPr="00D02C43">
        <w:rPr>
          <w:sz w:val="22"/>
          <w:szCs w:val="20"/>
        </w:rPr>
        <w:t xml:space="preserve">Model hyperparameters were individually tuned to identify the hyperparameter combination which minimizes the Brier score, a metric designed to penalize misclassifications and reward confident, correct classifications </w:t>
      </w:r>
      <w:r w:rsidRPr="00D02C43">
        <w:rPr>
          <w:sz w:val="22"/>
          <w:szCs w:val="20"/>
        </w:rPr>
        <w:fldChar w:fldCharType="begin"/>
      </w:r>
      <w:r w:rsidRPr="00D02C43">
        <w:rPr>
          <w:sz w:val="22"/>
          <w:szCs w:val="20"/>
        </w:rPr>
        <w:instrText xml:space="preserve"> ADDIN ZOTERO_ITEM CSL_CITATION {"citationID":"Z7eP624j","properties":{"formattedCitation":"(Brier 1950, Kruppa et al. 2014)","plainCitation":"(Brier 1950, Kruppa et al. 2014)","noteIndex":0},"citationItems":[{"id":9089,"uris":["http://zotero.org/users/1538077/items/USM3FN9N"],"itemData":{"id":9089,"type":"article-journal","container-title":"Monthly weather review","issue":"1","note":"ISBN: 1520-0493","page":"1-3","title":"Verification of forecasts expressed in terms of probability","volume":"78","author":[{"family":"Brier","given":"Glenn W."}],"issued":{"date-parts":[["1950"]]}}},{"id":9083,"uris":["http://zotero.org/users/1538077/items/5NGVEPW7"],"itemData":{"id":9083,"type":"article-journal","abstract":"Machine learning methods are applied to three different large datasets, all dealing with probability estimation problems for dichotomous or multicategory data. Specifically, we investigate k-nearest neighbors, bagged nearest neighbors, random forests for probability estimation trees, and support vector machines with the kernels of Bessel, linear, Laplacian, and radial basis type. Comparisons are made with logistic regression. The dataset from the German Stroke Study Collaboration with dichotomous and three-category outcome variables allows, in particular, for temporal and external validation. The other two datasets are freely available from the UCI learning repository and provide dichotomous outcome variables. One of them, the Cleveland Clinic Foundation Heart Disease dataset, uses data from one clinic for training and from three clinics for external validation, while the other, the thyroid disease dataset, allows for temporal validation by separating data into training and test data by date of recruitment into study. For dichotomous outcome variables, we use receiver operating characteristics, areas under the curve values with bootstrapped 95% confidence intervals, and Hosmer–Lemeshow-type figures as comparison criteria. For dichotomous and multicategory outcomes, we calculated bootstrap Brier scores with 95% confidence intervals and also compared them through bootstrapping. In a supplement, we provide R code for performing the analyses and for random forest analyses in Random Jungle, version 2.1.0. The learning machines show promising performance over all constructed models. They are simple to apply and serve as an alternative approach to logistic or multinomial logistic regression analysis.","container-title":"Biometrical Journal","DOI":"10.1002/bimj.201300077","ISSN":"1521-4036","issue":"4","language":"en","license":"© 2014 WILEY-VCH Verlag GmbH &amp; Co. KGaA, Weinheim","note":"_eprint: https://onlinelibrary.wiley.com/doi/pdf/10.1002/bimj.201300077","page":"564-583","source":"Wiley Online Library","title":"Probability estimation with machine learning methods for dichotomous and multicategory outcome: Applications","title-short":"Probability estimation with machine learning methods for dichotomous and multicategory outcome","volume":"56","author":[{"family":"Kruppa","given":"Jochen"},{"family":"Liu","given":"Yufeng"},{"family":"Diener","given":"Hans-Christian"},{"family":"Holste","given":"Theresa"},{"family":"Weimar","given":"Christian"},{"family":"König","given":"Inke R."},{"family":"Ziegler","given":"Andreas"}],"issued":{"date-parts":[["2014"]]}}}],"schema":"https://github.com/citation-style-language/schema/raw/master/csl-citation.json"} </w:instrText>
      </w:r>
      <w:r w:rsidRPr="00D02C43">
        <w:rPr>
          <w:sz w:val="22"/>
          <w:szCs w:val="20"/>
        </w:rPr>
        <w:fldChar w:fldCharType="separate"/>
      </w:r>
      <w:r w:rsidRPr="00D02C43">
        <w:rPr>
          <w:rFonts w:cs="Times New Roman"/>
          <w:sz w:val="22"/>
          <w:szCs w:val="20"/>
        </w:rPr>
        <w:t>(Brier 1950, Kruppa et al. 2014)</w:t>
      </w:r>
      <w:r w:rsidRPr="00D02C43">
        <w:rPr>
          <w:sz w:val="22"/>
          <w:szCs w:val="20"/>
        </w:rPr>
        <w:fldChar w:fldCharType="end"/>
      </w:r>
      <w:r w:rsidRPr="00D02C43">
        <w:rPr>
          <w:sz w:val="22"/>
          <w:szCs w:val="20"/>
        </w:rPr>
        <w:t xml:space="preserve">. All model hyperparameters were tuned by fitting the models on the training dataset cross-validated using 10-fold cross-validation repeated </w:t>
      </w:r>
      <w:r w:rsidR="00D5385C" w:rsidRPr="00D02C43">
        <w:rPr>
          <w:sz w:val="22"/>
          <w:szCs w:val="20"/>
        </w:rPr>
        <w:t>ten</w:t>
      </w:r>
      <w:r w:rsidRPr="00D02C43">
        <w:rPr>
          <w:sz w:val="22"/>
          <w:szCs w:val="20"/>
        </w:rPr>
        <w:t xml:space="preserve"> times. Each model was fit to these datasets using an initial random grid with 50 random combinations of parameters. This random grid was </w:t>
      </w:r>
      <w:r w:rsidR="00C86FA0" w:rsidRPr="00D02C43">
        <w:rPr>
          <w:sz w:val="22"/>
          <w:szCs w:val="20"/>
        </w:rPr>
        <w:t xml:space="preserve">used to fit a Bayesian gaussian process model to locate hyperparameter space which minimizes the Brier score </w:t>
      </w:r>
      <w:r w:rsidR="004F6AAB" w:rsidRPr="00D02C43">
        <w:rPr>
          <w:sz w:val="22"/>
          <w:szCs w:val="20"/>
        </w:rPr>
        <w:fldChar w:fldCharType="begin"/>
      </w:r>
      <w:r w:rsidR="004F6AAB" w:rsidRPr="00D02C43">
        <w:rPr>
          <w:sz w:val="22"/>
          <w:szCs w:val="20"/>
        </w:rPr>
        <w:instrText xml:space="preserve"> ADDIN ZOTERO_ITEM CSL_CITATION {"citationID":"WJhEFJZ7","properties":{"formattedCitation":"(Kuhn and Silge 2022)","plainCitation":"(Kuhn and Silge 2022)","noteIndex":0},"citationItems":[{"id":9122,"uris":["http://zotero.org/users/1538077/items/H9PKR6B9"],"itemData":{"id":9122,"type":"book","abstract":"Get going with tidymodels, a collection of R packages for modeling and machine learning. Whether you're just starting out or have years of experience with modeling, this practical introduction shows data analysts, business analysts, and data scientists how the tidymodels framework offers a consistent, flexible approach for your work.  RStudio engineers Max Kuhn and Julia Silge demonstrate ways to create models by focusing on an R dialect called the tidyverse. Software that adopts tidyverse principles shares both a high-level design philosophy and low-level grammar and data structures, so learning one piece of the ecosystem makes it easier to learn the next. You'll understand why the tidymodels framework has been built to be used by a broad range of people.  With this book, you will: Learn the steps necessary to build a model from beginning to end Understand how to use different modeling and feature engineering approaches fluently Examine the options for avoiding common pitfalls of modeling, such as overfitting Learn practical methods to prepare your data for modeling Tune models for optimal performance Use good statistical practices to compare, evaluate, and choose among models","edition":"1st edition","event-place":"Sebastopol, CA","ISBN":"978-1-4920-9648-1","language":"English","number-of-pages":"381","publisher":"O'Reilly Media","publisher-place":"Sebastopol, CA","source":"Amazon","title":"Tidy Modeling with R: A Framework for Modeling in the Tidyverse","title-short":"Tidy Modeling with R","author":[{"family":"Kuhn","given":"Max"},{"family":"Silge","given":"Julia"}],"issued":{"date-parts":[["2022",8,16]]}}}],"schema":"https://github.com/citation-style-language/schema/raw/master/csl-citation.json"} </w:instrText>
      </w:r>
      <w:r w:rsidR="004F6AAB" w:rsidRPr="00D02C43">
        <w:rPr>
          <w:sz w:val="22"/>
          <w:szCs w:val="20"/>
        </w:rPr>
        <w:fldChar w:fldCharType="separate"/>
      </w:r>
      <w:r w:rsidR="004F6AAB" w:rsidRPr="00D02C43">
        <w:rPr>
          <w:rFonts w:cs="Times New Roman"/>
          <w:sz w:val="22"/>
          <w:szCs w:val="20"/>
        </w:rPr>
        <w:t>(Kuhn and Silge 2022)</w:t>
      </w:r>
      <w:r w:rsidR="004F6AAB" w:rsidRPr="00D02C43">
        <w:rPr>
          <w:sz w:val="22"/>
          <w:szCs w:val="20"/>
        </w:rPr>
        <w:fldChar w:fldCharType="end"/>
      </w:r>
      <w:r w:rsidR="00C86FA0" w:rsidRPr="00D02C43">
        <w:rPr>
          <w:sz w:val="22"/>
          <w:szCs w:val="20"/>
        </w:rPr>
        <w:t xml:space="preserve">. Following prediction of the hyperparameter </w:t>
      </w:r>
      <w:r w:rsidR="00C86FA0" w:rsidRPr="00D02C43">
        <w:rPr>
          <w:sz w:val="22"/>
          <w:szCs w:val="20"/>
        </w:rPr>
        <w:lastRenderedPageBreak/>
        <w:t xml:space="preserve">combination </w:t>
      </w:r>
      <w:r w:rsidRPr="00D02C43">
        <w:rPr>
          <w:sz w:val="22"/>
          <w:szCs w:val="20"/>
        </w:rPr>
        <w:t>minimiz</w:t>
      </w:r>
      <w:r w:rsidR="00C86FA0" w:rsidRPr="00D02C43">
        <w:rPr>
          <w:sz w:val="22"/>
          <w:szCs w:val="20"/>
        </w:rPr>
        <w:t xml:space="preserve">ing Brier score the model is refit to the training data and assessed for improvement. This method is then repeated up to 200 iterations or after 25 iterations with no improvement of the Brier score. </w:t>
      </w:r>
    </w:p>
    <w:p w14:paraId="6C1F515D" w14:textId="74EFAB6A" w:rsidR="00663D39" w:rsidRPr="00D02C43" w:rsidRDefault="002F38C3" w:rsidP="00663D39">
      <w:pPr>
        <w:ind w:firstLine="360"/>
        <w:rPr>
          <w:sz w:val="22"/>
          <w:szCs w:val="20"/>
        </w:rPr>
      </w:pPr>
      <w:r w:rsidRPr="00D02C43">
        <w:rPr>
          <w:sz w:val="22"/>
          <w:szCs w:val="20"/>
        </w:rPr>
        <w:t xml:space="preserve">Equivalently high-quality models of coral disease were identified by identifying </w:t>
      </w:r>
      <w:r w:rsidR="0027450F" w:rsidRPr="00D02C43">
        <w:rPr>
          <w:sz w:val="22"/>
          <w:szCs w:val="20"/>
        </w:rPr>
        <w:t xml:space="preserve">the region of </w:t>
      </w:r>
      <w:r w:rsidRPr="00D02C43">
        <w:rPr>
          <w:sz w:val="22"/>
          <w:szCs w:val="20"/>
        </w:rPr>
        <w:t xml:space="preserve">practically equivalent models which are </w:t>
      </w:r>
      <w:r w:rsidR="007A4A19" w:rsidRPr="00D02C43">
        <w:rPr>
          <w:sz w:val="22"/>
          <w:szCs w:val="20"/>
        </w:rPr>
        <w:t>8</w:t>
      </w:r>
      <w:r w:rsidR="00853A2A" w:rsidRPr="00D02C43">
        <w:rPr>
          <w:sz w:val="22"/>
          <w:szCs w:val="20"/>
        </w:rPr>
        <w:t>0</w:t>
      </w:r>
      <w:r w:rsidRPr="00D02C43">
        <w:rPr>
          <w:sz w:val="22"/>
          <w:szCs w:val="20"/>
        </w:rPr>
        <w:t xml:space="preserve">% likely to be within </w:t>
      </w:r>
      <w:r w:rsidR="00FB431E" w:rsidRPr="00D02C43">
        <w:rPr>
          <w:sz w:val="22"/>
          <w:szCs w:val="20"/>
        </w:rPr>
        <w:t>1</w:t>
      </w:r>
      <w:r w:rsidRPr="00D02C43">
        <w:rPr>
          <w:sz w:val="22"/>
          <w:szCs w:val="20"/>
        </w:rPr>
        <w:t>% overall quality as the best fit model. The overall quality metric used to compare models was a composite metric combining model accuracy, area under the receiver operator curve (ROC</w:t>
      </w:r>
      <w:r w:rsidR="00F747ED" w:rsidRPr="00D02C43">
        <w:rPr>
          <w:sz w:val="22"/>
          <w:szCs w:val="20"/>
        </w:rPr>
        <w:t xml:space="preserve"> </w:t>
      </w:r>
      <w:r w:rsidRPr="00D02C43">
        <w:rPr>
          <w:sz w:val="22"/>
          <w:szCs w:val="20"/>
        </w:rPr>
        <w:t xml:space="preserve">AUC), and Brier score </w:t>
      </w:r>
      <w:r w:rsidRPr="00D02C43">
        <w:rPr>
          <w:sz w:val="22"/>
          <w:szCs w:val="20"/>
        </w:rPr>
        <w:fldChar w:fldCharType="begin"/>
      </w:r>
      <w:r w:rsidRPr="00D02C43">
        <w:rPr>
          <w:sz w:val="22"/>
          <w:szCs w:val="20"/>
        </w:rPr>
        <w:instrText xml:space="preserve"> ADDIN ZOTERO_ITEM CSL_CITATION {"citationID":"Hrg16V1b","properties":{"formattedCitation":"(Derringer and Suich 1980)","plainCitation":"(Derringer and Suich 1980)","noteIndex":0},"citationItems":[{"id":9091,"uris":["http://zotero.org/users/1538077/items/LI7W9M4W"],"itemData":{"id":9091,"type":"article-journal","abstract":"A problem facing the product development community is the selection of a set of conditions which will result in a product with a desirable combination of properties. This essentially is a problem involving the simultaneous optimization of several response variables (the desirable combination of properties) which depend upon a number of independent variables or sets of conditions. Harrington, among others, has addressed this problem and has presented a desirability function approach. This paper will modify his approach and illustrate how several response variables can be transformed into a desirability function, which can be optimized by univariate techniques. Its usage will be illustrated in the development of a rubber compound for tire treads.","container-title":"Journal of Quality Technology","DOI":"10.1080/00224065.1980.11980968","ISSN":"0022-4065","issue":"4","note":"publisher: Taylor &amp; Francis\n_eprint: https://doi.org/10.1080/00224065.1980.11980968","page":"214-219","source":"Taylor and Francis+NEJM","title":"Simultaneous Optimization of Several Response Variables","volume":"12","author":[{"family":"Derringer","given":"George"},{"family":"Suich","given":"Ronald"}],"issued":{"date-parts":[["1980",10,1]]}}}],"schema":"https://github.com/citation-style-language/schema/raw/master/csl-citation.json"} </w:instrText>
      </w:r>
      <w:r w:rsidRPr="00D02C43">
        <w:rPr>
          <w:sz w:val="22"/>
          <w:szCs w:val="20"/>
        </w:rPr>
        <w:fldChar w:fldCharType="separate"/>
      </w:r>
      <w:r w:rsidRPr="00D02C43">
        <w:rPr>
          <w:rFonts w:cs="Times New Roman"/>
          <w:sz w:val="22"/>
          <w:szCs w:val="20"/>
        </w:rPr>
        <w:t>(Derringer and Suich 1980)</w:t>
      </w:r>
      <w:r w:rsidRPr="00D02C43">
        <w:rPr>
          <w:sz w:val="22"/>
          <w:szCs w:val="20"/>
        </w:rPr>
        <w:fldChar w:fldCharType="end"/>
      </w:r>
      <w:r w:rsidRPr="00D02C43">
        <w:rPr>
          <w:sz w:val="22"/>
          <w:szCs w:val="20"/>
        </w:rPr>
        <w:t xml:space="preserve">. The overall quality metric for the </w:t>
      </w:r>
      <w:r w:rsidR="0027450F" w:rsidRPr="00D02C43">
        <w:rPr>
          <w:sz w:val="22"/>
          <w:szCs w:val="20"/>
        </w:rPr>
        <w:t xml:space="preserve">repeated </w:t>
      </w:r>
      <w:r w:rsidRPr="00D02C43">
        <w:rPr>
          <w:sz w:val="22"/>
          <w:szCs w:val="20"/>
        </w:rPr>
        <w:t xml:space="preserve">cross validation fitted results were fitted using a hierarchical Bayesian model </w:t>
      </w:r>
      <w:r w:rsidR="0027450F" w:rsidRPr="00D02C43">
        <w:rPr>
          <w:sz w:val="22"/>
          <w:szCs w:val="20"/>
        </w:rPr>
        <w:t xml:space="preserve">to identify differences in model quality </w:t>
      </w:r>
      <w:r w:rsidR="0027450F" w:rsidRPr="00D02C43">
        <w:rPr>
          <w:sz w:val="22"/>
          <w:szCs w:val="20"/>
        </w:rPr>
        <w:fldChar w:fldCharType="begin"/>
      </w:r>
      <w:r w:rsidR="00BD157E" w:rsidRPr="00D02C43">
        <w:rPr>
          <w:sz w:val="22"/>
          <w:szCs w:val="20"/>
        </w:rPr>
        <w:instrText xml:space="preserve"> ADDIN ZOTERO_ITEM CSL_CITATION {"citationID":"lSGSk0ru","properties":{"formattedCitation":"(Kuhn and Silge 2022)","plainCitation":"(Kuhn and Silge 2022)","noteIndex":0},"citationItems":[{"id":9122,"uris":["http://zotero.org/users/1538077/items/H9PKR6B9"],"itemData":{"id":9122,"type":"book","abstract":"Get going with tidymodels, a collection of R packages for modeling and machine learning. Whether you're just starting out or have years of experience with modeling, this practical introduction shows data analysts, business analysts, and data scientists how the tidymodels framework offers a consistent, flexible approach for your work.  RStudio engineers Max Kuhn and Julia Silge demonstrate ways to create models by focusing on an R dialect called the tidyverse. Software that adopts tidyverse principles shares both a high-level design philosophy and low-level grammar and data structures, so learning one piece of the ecosystem makes it easier to learn the next. You'll understand why the tidymodels framework has been built to be used by a broad range of people.  With this book, you will: Learn the steps necessary to build a model from beginning to end Understand how to use different modeling and feature engineering approaches fluently Examine the options for avoiding common pitfalls of modeling, such as overfitting Learn practical methods to prepare your data for modeling Tune models for optimal performance Use good statistical practices to compare, evaluate, and choose among models","edition":"1st edition","event-place":"Sebastopol, CA","ISBN":"978-1-4920-9648-1","language":"English","number-of-pages":"381","publisher":"O'Reilly Media","publisher-place":"Sebastopol, CA","source":"Amazon","title":"Tidy Modeling with R: A Framework for Modeling in the Tidyverse","title-short":"Tidy Modeling with R","author":[{"family":"Kuhn","given":"Max"},{"family":"Silge","given":"Julia"}],"issued":{"date-parts":[["2022",8,16]]}}}],"schema":"https://github.com/citation-style-language/schema/raw/master/csl-citation.json"} </w:instrText>
      </w:r>
      <w:r w:rsidR="0027450F" w:rsidRPr="00D02C43">
        <w:rPr>
          <w:sz w:val="22"/>
          <w:szCs w:val="20"/>
        </w:rPr>
        <w:fldChar w:fldCharType="separate"/>
      </w:r>
      <w:r w:rsidR="0027450F" w:rsidRPr="00D02C43">
        <w:rPr>
          <w:rFonts w:cs="Times New Roman"/>
          <w:sz w:val="22"/>
          <w:szCs w:val="20"/>
        </w:rPr>
        <w:t>(Kuhn and Silge 2022)</w:t>
      </w:r>
      <w:r w:rsidR="0027450F" w:rsidRPr="00D02C43">
        <w:rPr>
          <w:sz w:val="22"/>
          <w:szCs w:val="20"/>
        </w:rPr>
        <w:fldChar w:fldCharType="end"/>
      </w:r>
      <w:r w:rsidR="0027450F" w:rsidRPr="00D02C43">
        <w:rPr>
          <w:sz w:val="22"/>
          <w:szCs w:val="20"/>
        </w:rPr>
        <w:t xml:space="preserve">. Random effects for repeats and folds within repeats were included to account for the repeated measurements of these data subsets </w:t>
      </w:r>
      <w:r w:rsidR="0027450F" w:rsidRPr="00D02C43">
        <w:rPr>
          <w:sz w:val="22"/>
          <w:szCs w:val="20"/>
        </w:rPr>
        <w:fldChar w:fldCharType="begin"/>
      </w:r>
      <w:r w:rsidR="00BD157E" w:rsidRPr="00D02C43">
        <w:rPr>
          <w:sz w:val="22"/>
          <w:szCs w:val="20"/>
        </w:rPr>
        <w:instrText xml:space="preserve"> ADDIN ZOTERO_ITEM CSL_CITATION {"citationID":"ETAkWJwv","properties":{"formattedCitation":"(Kuhn and Silge 2022)","plainCitation":"(Kuhn and Silge 2022)","noteIndex":0},"citationItems":[{"id":9122,"uris":["http://zotero.org/users/1538077/items/H9PKR6B9"],"itemData":{"id":9122,"type":"book","abstract":"Get going with tidymodels, a collection of R packages for modeling and machine learning. Whether you're just starting out or have years of experience with modeling, this practical introduction shows data analysts, business analysts, and data scientists how the tidymodels framework offers a consistent, flexible approach for your work.  RStudio engineers Max Kuhn and Julia Silge demonstrate ways to create models by focusing on an R dialect called the tidyverse. Software that adopts tidyverse principles shares both a high-level design philosophy and low-level grammar and data structures, so learning one piece of the ecosystem makes it easier to learn the next. You'll understand why the tidymodels framework has been built to be used by a broad range of people.  With this book, you will: Learn the steps necessary to build a model from beginning to end Understand how to use different modeling and feature engineering approaches fluently Examine the options for avoiding common pitfalls of modeling, such as overfitting Learn practical methods to prepare your data for modeling Tune models for optimal performance Use good statistical practices to compare, evaluate, and choose among models","edition":"1st edition","event-place":"Sebastopol, CA","ISBN":"978-1-4920-9648-1","language":"English","number-of-pages":"381","publisher":"O'Reilly Media","publisher-place":"Sebastopol, CA","source":"Amazon","title":"Tidy Modeling with R: A Framework for Modeling in the Tidyverse","title-short":"Tidy Modeling with R","author":[{"family":"Kuhn","given":"Max"},{"family":"Silge","given":"Julia"}],"issued":{"date-parts":[["2022",8,16]]}}}],"schema":"https://github.com/citation-style-language/schema/raw/master/csl-citation.json"} </w:instrText>
      </w:r>
      <w:r w:rsidR="0027450F" w:rsidRPr="00D02C43">
        <w:rPr>
          <w:sz w:val="22"/>
          <w:szCs w:val="20"/>
        </w:rPr>
        <w:fldChar w:fldCharType="separate"/>
      </w:r>
      <w:r w:rsidR="0027450F" w:rsidRPr="00D02C43">
        <w:rPr>
          <w:rFonts w:cs="Times New Roman"/>
          <w:sz w:val="22"/>
          <w:szCs w:val="20"/>
        </w:rPr>
        <w:t>(Kuhn and Silge 2022)</w:t>
      </w:r>
      <w:r w:rsidR="0027450F" w:rsidRPr="00D02C43">
        <w:rPr>
          <w:sz w:val="22"/>
          <w:szCs w:val="20"/>
        </w:rPr>
        <w:fldChar w:fldCharType="end"/>
      </w:r>
      <w:r w:rsidR="0027450F" w:rsidRPr="00D02C43">
        <w:rPr>
          <w:sz w:val="22"/>
          <w:szCs w:val="20"/>
        </w:rPr>
        <w:t xml:space="preserve">. </w:t>
      </w:r>
    </w:p>
    <w:p w14:paraId="0B565DA2" w14:textId="0BA78093" w:rsidR="003416C8" w:rsidRPr="00D02C43" w:rsidRDefault="00F747ED" w:rsidP="006053D4">
      <w:pPr>
        <w:ind w:firstLine="360"/>
        <w:rPr>
          <w:sz w:val="22"/>
          <w:szCs w:val="20"/>
        </w:rPr>
      </w:pPr>
      <w:r w:rsidRPr="00D02C43">
        <w:rPr>
          <w:sz w:val="22"/>
          <w:szCs w:val="20"/>
        </w:rPr>
        <w:t xml:space="preserve">We identified ASVs important to identifying coral disease state for all of the top quality models by calculating Monte Carlo based Shapley values </w:t>
      </w:r>
      <w:r w:rsidRPr="00D02C43">
        <w:rPr>
          <w:sz w:val="22"/>
          <w:szCs w:val="20"/>
        </w:rPr>
        <w:fldChar w:fldCharType="begin"/>
      </w:r>
      <w:r w:rsidRPr="00D02C43">
        <w:rPr>
          <w:sz w:val="22"/>
          <w:szCs w:val="20"/>
        </w:rPr>
        <w:instrText xml:space="preserve"> ADDIN ZOTERO_ITEM CSL_CITATION {"citationID":"RN2VKg7q","properties":{"formattedCitation":"(Shapley 1953, \\uc0\\u352{}trumbelj and Kononenko 2014, Greenwell 2023)","plainCitation":"(Shapley 1953, Štrumbelj and Kononenko 2014, Greenwell 2023)","noteIndex":0},"citationItems":[{"id":9020,"uris":["http://zotero.org/users/1538077/items/PVMRGFBV"],"itemData":{"id":9020,"type":"chapter","container-title":"Contributions to the Theory of Games (AM-28)","ISBN":"978-1-4008-8197-0","note":"publisher: Princeton University Press Princeton","page":"409","publisher":"Princeton University Press","source":"Google Scholar","title":"A value for n-person games","URL":"https://books.google.com/books?hl=en&amp;lr=&amp;id=Pd3TCwAAQBAJ&amp;oi=fnd&amp;pg=PA307&amp;dq=A+value+for+n-person+games,&amp;ots=gtwZE99jxW&amp;sig=4uRyJAYJp3uhc9dvLLfBWYjJh3E","volume":"II","author":[{"family":"Shapley","given":"Lloyd S."}],"container-author":[{"family":"Kuhn","given":"Harold William"},{"family":"Tucker","given":"Albert William"}],"accessed":{"date-parts":[["2023",10,12]]},"issued":{"date-parts":[["1953"]]}}},{"id":9015,"uris":["http://zotero.org/users/1538077/items/8EZJVGIG"],"itemData":{"id":9015,"type":"article-journal","abstract":"We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model.","container-title":"Knowledge and Information Systems","DOI":"10.1007/s10115-013-0679-x","ISSN":"0219-3116","issue":"3","journalAbbreviation":"Knowl Inf Syst","language":"en","page":"647-665","source":"Springer Link","title":"Explaining prediction models and individual predictions with feature contributions","volume":"41","author":[{"family":"Štrumbelj","given":"Erik"},{"family":"Kononenko","given":"Igor"}],"issued":{"date-parts":[["2014",12,1]]}}},{"id":9024,"uris":["http://zotero.org/users/1538077/items/ZAUTP469"],"itemData":{"id":9024,"type":"software","title":"fastshap: Fast Approximate Shapley Values","URL":"https://CRAN.R-project.org/package=fastshap","author":[{"family":"Greenwell","given":"Brandon"}],"issued":{"date-parts":[["2023"]]}}}],"schema":"https://github.com/citation-style-language/schema/raw/master/csl-citation.json"} </w:instrText>
      </w:r>
      <w:r w:rsidRPr="00D02C43">
        <w:rPr>
          <w:sz w:val="22"/>
          <w:szCs w:val="20"/>
        </w:rPr>
        <w:fldChar w:fldCharType="separate"/>
      </w:r>
      <w:r w:rsidRPr="00D02C43">
        <w:rPr>
          <w:rFonts w:cs="Times New Roman"/>
          <w:kern w:val="0"/>
          <w:sz w:val="22"/>
        </w:rPr>
        <w:t>(Shapley 1953, Štrumbelj and Kononenko 2014, Greenwell 2023)</w:t>
      </w:r>
      <w:r w:rsidRPr="00D02C43">
        <w:rPr>
          <w:sz w:val="22"/>
          <w:szCs w:val="20"/>
        </w:rPr>
        <w:fldChar w:fldCharType="end"/>
      </w:r>
      <w:r w:rsidRPr="00D02C43">
        <w:rPr>
          <w:sz w:val="22"/>
          <w:szCs w:val="20"/>
        </w:rPr>
        <w:t xml:space="preserve">. Shapley values were calculated independently for each model and ASV using </w:t>
      </w:r>
      <w:r w:rsidR="00B45569" w:rsidRPr="00D02C43">
        <w:rPr>
          <w:sz w:val="22"/>
          <w:szCs w:val="20"/>
        </w:rPr>
        <w:t>500</w:t>
      </w:r>
      <w:r w:rsidRPr="00D02C43">
        <w:rPr>
          <w:sz w:val="22"/>
          <w:szCs w:val="20"/>
        </w:rPr>
        <w:t xml:space="preserve"> simulations with ASV importance being calculated as the mean of the absolute values of the Shapley values </w:t>
      </w:r>
      <w:r w:rsidR="00BD157E" w:rsidRPr="00D02C43">
        <w:rPr>
          <w:sz w:val="22"/>
          <w:szCs w:val="20"/>
        </w:rPr>
        <w:fldChar w:fldCharType="begin"/>
      </w:r>
      <w:r w:rsidR="00BD157E" w:rsidRPr="00D02C43">
        <w:rPr>
          <w:sz w:val="22"/>
          <w:szCs w:val="20"/>
        </w:rPr>
        <w:instrText xml:space="preserve"> ADDIN ZOTERO_ITEM CSL_CITATION {"citationID":"qDPp9ukt","properties":{"formattedCitation":"(Molnar 2022)","plainCitation":"(Molnar 2022)","noteIndex":0},"citationItems":[{"id":9124,"uris":["http://zotero.org/users/1538077/items/EZ6ZZ5N7"],"itemData":{"id":9124,"type":"book","abstract":"Interpretable Machine Learning is a comprehensive guide to making machine learning models interpretable\"Pretty convinced this is the best book out there on the subject\"– Brian Lewis, Data Scientist at Cornerstone ResearchSummaryThis book covers a range of interpretability methods, from inherently interpretable models to methods that can make any model interpretable, such as SHAP, LIME and permutation feature importance. It also includes interpretation methods specific to deep neural networks, and discusses why interpretability is important in machine learning. All interpretation methods are explained in depth and discussed critically. How do they work under the hood? What are their strengths and weaknesses? How can their outputs be interpreted?\"What I love about this book is that it starts with the big picture instead of diving immediately into the nitty gritty of the methods (although all of that is there, too).\"– Andrea Farnham, Researcher at Swiss Tropical and Public Health InstituteWho the book is forThis book is essential for machine learning practitioners, data scientists, statisticians, and anyone interested in making their machine learning models interpretable. It will help readers select and apply the appropriate interpretation method for their specific project.\"This one has been a life saver for me to interpret models. ALE plots are just too good!\"– Sai Teja Pasul, Data Scientist at Kohl'sYou'll learn aboutThe concepts of machine leaning interpretabilityInherently interpretable modelsMethods to make any machine model interpretable, such as SHAP, LIME and permutation feature importanceInterpretation methods specific to deep neural networksWhy interpretability is important and what's behind this conceptAbout the authorThe author, Christoph Molnar, is an expert in machine learning and statistics, with a Ph.D. in interpretable machine learning.OutlineSummary1 Preface by the Author2 Introduction3 Interpretability4 Datasets5 Interpretable Models5.1 Linear Regression5.2 Logistic Regression5.3 GLM, GAM and more5.4 Decision Tree5.5 Decision Rules5.6 RuleFit5.7 Other Interpretable Models6 Model-Agnostic Methods7 Example-Based Explanations8 Global Model-Agnostic Methods8.1 Partial Dependence Plot (PDP)8.2 Accumulated Local Effects (ALE) Plot8.3.1 Feature Interaction8.4 Functional Decompositon8.5 Permutation Feature Importance8.6 Global Surrogate8.7 Prototypes and Criticisms9 Local Model-Agnostic Methods9.1 Individual Conditional Expectation (ICE)9.2 Local Surrogate (LIME)9.3 Counterfactual Explanations9.4 Scoped Rules (Anchors)9.5 Shapley Values9.6 SHAP (SHapley Additive exPlanations)10 Neural Network Interpretation10.1 Learned Features10.2 Pixel Attribution (Saliency Maps)10.3 Detecting Concepts10.4 Adversarial Examples10.5 Influential Instances11 A Look into the Crystal Ball","event-place":"Munich, Germany","ISBN":"9798411463330","language":"English","number-of-pages":"328","publisher":"Independently published","publisher-place":"Munich, Germany","source":"Amazon","title":"Interpretable Machine Learning: A Guide For Making Black Box Models Explainable","title-short":"Interpretable Machine Learning","author":[{"family":"Molnar","given":"Christoph"}],"issued":{"date-parts":[["2022",2,28]]}}}],"schema":"https://github.com/citation-style-language/schema/raw/master/csl-citation.json"} </w:instrText>
      </w:r>
      <w:r w:rsidR="00BD157E" w:rsidRPr="00D02C43">
        <w:rPr>
          <w:sz w:val="22"/>
          <w:szCs w:val="20"/>
        </w:rPr>
        <w:fldChar w:fldCharType="separate"/>
      </w:r>
      <w:r w:rsidR="00BD157E" w:rsidRPr="00D02C43">
        <w:rPr>
          <w:rFonts w:cs="Times New Roman"/>
          <w:sz w:val="22"/>
          <w:szCs w:val="20"/>
        </w:rPr>
        <w:t>(Molnar 2022)</w:t>
      </w:r>
      <w:r w:rsidR="00BD157E" w:rsidRPr="00D02C43">
        <w:rPr>
          <w:sz w:val="22"/>
          <w:szCs w:val="20"/>
        </w:rPr>
        <w:fldChar w:fldCharType="end"/>
      </w:r>
      <w:r w:rsidRPr="00D02C43">
        <w:rPr>
          <w:sz w:val="22"/>
          <w:szCs w:val="20"/>
        </w:rPr>
        <w:t xml:space="preserve">. </w:t>
      </w:r>
      <w:r w:rsidR="006053D4" w:rsidRPr="00D02C43">
        <w:rPr>
          <w:sz w:val="22"/>
          <w:szCs w:val="20"/>
        </w:rPr>
        <w:t xml:space="preserve">Using an ensemble feature selection approach </w:t>
      </w:r>
      <w:r w:rsidR="003630F0" w:rsidRPr="00D02C43">
        <w:rPr>
          <w:sz w:val="22"/>
          <w:szCs w:val="20"/>
        </w:rPr>
        <w:t xml:space="preserve">ASVs which </w:t>
      </w:r>
      <w:r w:rsidR="00457C65" w:rsidRPr="00D02C43">
        <w:rPr>
          <w:sz w:val="22"/>
          <w:szCs w:val="20"/>
        </w:rPr>
        <w:t>were</w:t>
      </w:r>
      <w:r w:rsidR="003630F0" w:rsidRPr="00D02C43">
        <w:rPr>
          <w:sz w:val="22"/>
          <w:szCs w:val="20"/>
        </w:rPr>
        <w:t xml:space="preserve"> consistently highly ranked were identified by performing a set of </w:t>
      </w:r>
      <w:r w:rsidR="00457C65" w:rsidRPr="00D02C43">
        <w:rPr>
          <w:sz w:val="22"/>
          <w:szCs w:val="20"/>
        </w:rPr>
        <w:t>one-sided Wilcoxon rank-sum</w:t>
      </w:r>
      <w:r w:rsidR="003630F0" w:rsidRPr="00D02C43">
        <w:rPr>
          <w:sz w:val="22"/>
          <w:szCs w:val="20"/>
        </w:rPr>
        <w:t xml:space="preserve"> </w:t>
      </w:r>
      <w:r w:rsidR="00457C65" w:rsidRPr="00D02C43">
        <w:rPr>
          <w:sz w:val="22"/>
          <w:szCs w:val="20"/>
        </w:rPr>
        <w:t>tests comparing the ASV rankings across models to the average of all other ASVs</w:t>
      </w:r>
      <w:r w:rsidR="006053D4" w:rsidRPr="00D02C43">
        <w:rPr>
          <w:sz w:val="22"/>
          <w:szCs w:val="20"/>
        </w:rPr>
        <w:t xml:space="preserve"> </w:t>
      </w:r>
      <w:r w:rsidR="006053D4" w:rsidRPr="00D02C43">
        <w:rPr>
          <w:sz w:val="22"/>
          <w:szCs w:val="20"/>
        </w:rPr>
        <w:fldChar w:fldCharType="begin"/>
      </w:r>
      <w:r w:rsidR="006053D4" w:rsidRPr="00D02C43">
        <w:rPr>
          <w:sz w:val="22"/>
          <w:szCs w:val="20"/>
        </w:rPr>
        <w:instrText xml:space="preserve"> ADDIN ZOTERO_ITEM CSL_CITATION {"citationID":"HDNG1ImT","properties":{"formattedCitation":"(Bol\\uc0\\u243{}n-Canedo and Alonso-Betanzos 2019)","plainCitation":"(Bolón-Canedo and Alonso-Betanzos 2019)","noteIndex":0},"citationItems":[{"id":9126,"uris":["http://zotero.org/users/1538077/items/JCYJ6JXV"],"itemData":{"id":9126,"type":"article-journal","abstract":"Ensemble learning is a prolific field in Machine Learning since it is based on the assumption that combining the output of multiple models is better than using a single model, and it usually provides good results. Normally, it has been commonly employed for classification, but it can be used to improve other disciplines such as feature selection. Feature selection consists of selecting the relevant features for a problem and discard those irrelevant or redundant, with the main goal of improving classification accuracy. In this work, we provide the reader with the basic concepts necessary to build an ensemble for feature selection, as well as reviewing the up-to-date advances and commenting on the future trends that are still to be faced.","container-title":"Information Fusion","DOI":"10.1016/j.inffus.2018.11.008","ISSN":"1566-2535","journalAbbreviation":"Information Fusion","page":"1-12","source":"ScienceDirect","title":"Ensembles for feature selection: A review and future trends","title-short":"Ensembles for feature selection","volume":"52","author":[{"family":"Bolón-Canedo","given":"Verónica"},{"family":"Alonso-Betanzos","given":"Amparo"}],"issued":{"date-parts":[["2019",12,1]]}}}],"schema":"https://github.com/citation-style-language/schema/raw/master/csl-citation.json"} </w:instrText>
      </w:r>
      <w:r w:rsidR="006053D4" w:rsidRPr="00D02C43">
        <w:rPr>
          <w:sz w:val="22"/>
          <w:szCs w:val="20"/>
        </w:rPr>
        <w:fldChar w:fldCharType="separate"/>
      </w:r>
      <w:r w:rsidR="006053D4" w:rsidRPr="00D02C43">
        <w:rPr>
          <w:rFonts w:cs="Times New Roman"/>
          <w:kern w:val="0"/>
          <w:sz w:val="22"/>
        </w:rPr>
        <w:t>(Bolón-Canedo and Alonso-Betanzos 2019)</w:t>
      </w:r>
      <w:r w:rsidR="006053D4" w:rsidRPr="00D02C43">
        <w:rPr>
          <w:sz w:val="22"/>
          <w:szCs w:val="20"/>
        </w:rPr>
        <w:fldChar w:fldCharType="end"/>
      </w:r>
      <w:r w:rsidR="00457C65" w:rsidRPr="00D02C43">
        <w:rPr>
          <w:sz w:val="22"/>
          <w:szCs w:val="20"/>
        </w:rPr>
        <w:t xml:space="preserve">. These tests were corrected using the sequential Bonferroni adjustment </w:t>
      </w:r>
      <w:r w:rsidR="00457C65" w:rsidRPr="00D02C43">
        <w:rPr>
          <w:sz w:val="22"/>
          <w:szCs w:val="20"/>
        </w:rPr>
        <w:fldChar w:fldCharType="begin"/>
      </w:r>
      <w:r w:rsidR="00457C65" w:rsidRPr="00D02C43">
        <w:rPr>
          <w:sz w:val="22"/>
          <w:szCs w:val="20"/>
        </w:rPr>
        <w:instrText xml:space="preserve"> ADDIN ZOTERO_ITEM CSL_CITATION {"citationID":"PjiHZXbe","properties":{"formattedCitation":"(Holm 1979)","plainCitation":"(Holm 1979)","noteIndex":0},"citationItems":[{"id":2935,"uris":["http://zotero.org/users/1538077/items/FHA69RWJ"],"itemData":{"id":2935,"type":"article-journal","abstract":"This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discussed.","archive":"JSTOR","container-title":"Scandinavian Journal of Statistics","ISSN":"0303-6898","issue":"2","note":"publisher: [Board of the Foundation of the Scandinavian Journal of Statistics, Wiley]","page":"65-70","source":"JSTOR","title":"A Simple Sequentially Rejective Multiple Test Procedure","volume":"6","author":[{"family":"Holm","given":"Sture"}],"issued":{"date-parts":[["1979"]]}}}],"schema":"https://github.com/citation-style-language/schema/raw/master/csl-citation.json"} </w:instrText>
      </w:r>
      <w:r w:rsidR="00457C65" w:rsidRPr="00D02C43">
        <w:rPr>
          <w:sz w:val="22"/>
          <w:szCs w:val="20"/>
        </w:rPr>
        <w:fldChar w:fldCharType="separate"/>
      </w:r>
      <w:r w:rsidR="00457C65" w:rsidRPr="00D02C43">
        <w:rPr>
          <w:rFonts w:cs="Times New Roman"/>
          <w:sz w:val="22"/>
          <w:szCs w:val="20"/>
        </w:rPr>
        <w:t>(Holm 1979)</w:t>
      </w:r>
      <w:r w:rsidR="00457C65" w:rsidRPr="00D02C43">
        <w:rPr>
          <w:sz w:val="22"/>
          <w:szCs w:val="20"/>
        </w:rPr>
        <w:fldChar w:fldCharType="end"/>
      </w:r>
      <w:r w:rsidR="00457C65" w:rsidRPr="00D02C43">
        <w:rPr>
          <w:sz w:val="22"/>
          <w:szCs w:val="20"/>
        </w:rPr>
        <w:t>.</w:t>
      </w:r>
    </w:p>
    <w:p w14:paraId="76E56C38" w14:textId="1084724A" w:rsidR="009B6946" w:rsidRPr="00D02C43" w:rsidRDefault="009B6946" w:rsidP="009B6946">
      <w:pPr>
        <w:pStyle w:val="Heading2"/>
        <w:rPr>
          <w:sz w:val="22"/>
          <w:szCs w:val="24"/>
        </w:rPr>
      </w:pPr>
      <w:r w:rsidRPr="00D02C43">
        <w:rPr>
          <w:sz w:val="22"/>
          <w:szCs w:val="24"/>
        </w:rPr>
        <w:t xml:space="preserve">Field </w:t>
      </w:r>
      <w:r w:rsidR="00A8284C" w:rsidRPr="00D02C43">
        <w:rPr>
          <w:sz w:val="22"/>
          <w:szCs w:val="24"/>
        </w:rPr>
        <w:t>Consistency</w:t>
      </w:r>
    </w:p>
    <w:p w14:paraId="50C2A281" w14:textId="6B9EE75D" w:rsidR="00657AA5" w:rsidRPr="00D02C43" w:rsidRDefault="00657AA5" w:rsidP="00657AA5">
      <w:pPr>
        <w:ind w:firstLine="360"/>
        <w:rPr>
          <w:sz w:val="22"/>
          <w:szCs w:val="20"/>
        </w:rPr>
      </w:pPr>
      <w:r w:rsidRPr="00D02C43">
        <w:rPr>
          <w:sz w:val="22"/>
          <w:szCs w:val="20"/>
        </w:rPr>
        <w:t xml:space="preserve">The abundance of microbes was also modelled in the field to identify consistency in microbial abundance across sampling years and coral health conditions. We used a linear mixed effects model with a fixed effect of coral health (diseased or healthy) year, and season and all interactions with site as a random effect </w:t>
      </w:r>
      <w:r w:rsidRPr="00D02C43">
        <w:rPr>
          <w:sz w:val="22"/>
          <w:szCs w:val="20"/>
        </w:rPr>
        <w:fldChar w:fldCharType="begin"/>
      </w:r>
      <w:r w:rsidRPr="00D02C43">
        <w:rPr>
          <w:sz w:val="22"/>
          <w:szCs w:val="20"/>
        </w:rPr>
        <w:instrText xml:space="preserve"> ADDIN ZOTERO_ITEM CSL_CITATION {"citationID":"qzExo2MB","properties":{"formattedCitation":"(Bates et al. 2015)","plainCitation":"(Bates et al. 2015)","noteIndex":0},"citationItems":[{"id":8809,"uris":["http://zotero.org/users/1538077/items/MGR3SLSK"],"itemData":{"id":8809,"type":"article-journal","abstract":"Maximum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Software","issue":"i01","language":"en","note":"publisher: Foundation for Open Access Statistics","source":"ideas.repec.org","title":"Fitting Linear Mixed-Effects Models Using lme4","URL":"https://ideas.repec.org//a/jss/jstsof/v067i01.html","volume":"067","author":[{"family":"Bates","given":"Douglas"},{"family":"Mächler","given":"Martin"},{"family":"Bolker","given":"Ben"},{"family":"Walker","given":"Steve"}],"accessed":{"date-parts":[["2023",4,28]]},"issued":{"date-parts":[["2015"]]}}}],"schema":"https://github.com/citation-style-language/schema/raw/master/csl-citation.json"} </w:instrText>
      </w:r>
      <w:r w:rsidRPr="00D02C43">
        <w:rPr>
          <w:sz w:val="22"/>
          <w:szCs w:val="20"/>
        </w:rPr>
        <w:fldChar w:fldCharType="separate"/>
      </w:r>
      <w:r w:rsidRPr="00D02C43">
        <w:rPr>
          <w:rFonts w:cs="Times New Roman"/>
          <w:sz w:val="22"/>
          <w:szCs w:val="20"/>
        </w:rPr>
        <w:t>(Bates et al. 2015)</w:t>
      </w:r>
      <w:r w:rsidRPr="00D02C43">
        <w:rPr>
          <w:sz w:val="22"/>
          <w:szCs w:val="20"/>
        </w:rPr>
        <w:fldChar w:fldCharType="end"/>
      </w:r>
      <w:r w:rsidRPr="00D02C43">
        <w:rPr>
          <w:sz w:val="22"/>
          <w:szCs w:val="20"/>
        </w:rPr>
        <w:t>. As a follow-up post-hoc analysis we compared healthy and diseased corals within each timepoint to confirm the consistency of significant differences in microbial abundance across sampling times in all identified important ASVs.</w:t>
      </w:r>
    </w:p>
    <w:p w14:paraId="5ADB0E5D" w14:textId="289A1C79" w:rsidR="0025218F" w:rsidRPr="00D02C43" w:rsidRDefault="0025218F" w:rsidP="0025218F">
      <w:pPr>
        <w:pStyle w:val="Heading2"/>
        <w:rPr>
          <w:sz w:val="22"/>
          <w:szCs w:val="24"/>
        </w:rPr>
      </w:pPr>
      <w:r w:rsidRPr="00D02C43">
        <w:rPr>
          <w:sz w:val="22"/>
          <w:szCs w:val="24"/>
        </w:rPr>
        <w:t>Tank Experiments</w:t>
      </w:r>
    </w:p>
    <w:p w14:paraId="744F6D76" w14:textId="77777777" w:rsidR="00BC7AFA" w:rsidRPr="00D02C43" w:rsidRDefault="003D0EAB" w:rsidP="00BC7AFA">
      <w:pPr>
        <w:ind w:firstLine="360"/>
        <w:rPr>
          <w:sz w:val="22"/>
          <w:szCs w:val="20"/>
        </w:rPr>
      </w:pPr>
      <w:r w:rsidRPr="00D02C43">
        <w:rPr>
          <w:sz w:val="22"/>
          <w:szCs w:val="20"/>
        </w:rPr>
        <w:t xml:space="preserve">To the identify individual roles in coral dysbiosis of the most important ASVs associated with discriminating between healthy and diseased corals we performed a tank exposure experiment </w:t>
      </w:r>
      <w:r w:rsidRPr="00D02C43">
        <w:rPr>
          <w:sz w:val="22"/>
          <w:szCs w:val="20"/>
        </w:rPr>
        <w:fldChar w:fldCharType="begin"/>
      </w:r>
      <w:r w:rsidRPr="00D02C43">
        <w:rPr>
          <w:sz w:val="22"/>
          <w:szCs w:val="20"/>
        </w:rPr>
        <w:instrText xml:space="preserve"> ADDIN ZOTERO_ITEM CSL_CITATION {"citationID":"EYFiO96d","properties":{"formattedCitation":"(Vega Thurber et al. 2020)","plainCitation":"(Vega Thurber et al. 2020)","noteIndex":0},"citationItems":[{"id":8846,"uris":["http://zotero.org/users/1538077/items/6RAPBDUJ"],"itemData":{"id":8846,"type":"article-journal","abstract":"Diseases of tropical reef organisms is an intensive area of study, but despite significant advances in methodology and the global knowledge base, identifying the proximate causes of disease outbreaks remains difficult. The dynamics of infectious wildlife diseases are known to be influenced by shifting interactions among the host, pathogen, and other members of the microbiome, and a collective body of work clearly demonstrates that this is also the case for the main foundation species on reefs, corals. Yet, among wildlife, outbreaks of coral diseases stand out as being driven largely by a changing environment. These outbreaks contributed not only to significant losses of coral species but also to whole ecosystem regime shifts. Here we suggest that to better decipher the disease dynamics of corals, we must integrate more holistic and modern paradigms that consider multiple and variable interactions among the three major players in epizootics: the host, its associated microbiome, and the environment. In this perspective, we discuss how expanding the pathogen component of the classic host-pathogen-environment disease triad to incorporate shifts in the microbiome leading to dysbiosis provides a better model for understanding coral disease dynamics. We outline and discuss issues arising when evaluating each component of this trio and make suggestions for bridging gaps between them. We further suggest that to best tackle these challenges, researchers must adjust standard paradigms, like the classic one pathogen-one disease model, that, to date, have been ineffectual at uncovering many of the emergent properties of coral reef disease dynamics. Lastly, we make recommendations for ways forward in the fields of marine disease ecology and the future of coral reef conservation and restoration given these observations.","container-title":"Frontiers in Ecology and Evolution","ISSN":"2296-701X","source":"Frontiers","title":"Deciphering Coral Disease Dynamics: Integrating Host, Microbiome, and the Changing Environment","title-short":"Deciphering Coral Disease Dynamics","URL":"https://www.frontiersin.org/articles/10.3389/fevo.2020.575927","volume":"8","author":[{"family":"Vega Thurber","given":"Rebecca"},{"family":"Mydlarz","given":"Laura D."},{"family":"Brandt","given":"Marilyn"},{"family":"Harvell","given":"Drew"},{"family":"Weil","given":"Ernesto"},{"family":"Raymundo","given":"Laurie"},{"family":"Willis","given":"Bette L."},{"family":"Langevin","given":"Stan"},{"family":"Tracy","given":"Allison M."},{"family":"Littman","given":"Raechel"},{"family":"Kemp","given":"Keri M."},{"family":"Dawkins","given":"Phoebe"},{"family":"Prager","given":"Katherine C."},{"family":"Garren","given":"Melissa"},{"family":"Lamb","given":"Joleah"}],"accessed":{"date-parts":[["2023",6,29]]},"issued":{"date-parts":[["2020"]]}}}],"schema":"https://github.com/citation-style-language/schema/raw/master/csl-citation.json"} </w:instrText>
      </w:r>
      <w:r w:rsidRPr="00D02C43">
        <w:rPr>
          <w:sz w:val="22"/>
          <w:szCs w:val="20"/>
        </w:rPr>
        <w:fldChar w:fldCharType="separate"/>
      </w:r>
      <w:r w:rsidRPr="00D02C43">
        <w:rPr>
          <w:rFonts w:cs="Times New Roman"/>
          <w:sz w:val="22"/>
          <w:szCs w:val="20"/>
        </w:rPr>
        <w:t>(Vega Thurber et al. 2020)</w:t>
      </w:r>
      <w:r w:rsidRPr="00D02C43">
        <w:rPr>
          <w:sz w:val="22"/>
          <w:szCs w:val="20"/>
        </w:rPr>
        <w:fldChar w:fldCharType="end"/>
      </w:r>
      <w:r w:rsidRPr="00D02C43">
        <w:rPr>
          <w:sz w:val="22"/>
          <w:szCs w:val="20"/>
        </w:rPr>
        <w:t xml:space="preserve">. In January 2017 six coral genotypes were collected from ____. Coral genotypes were then fragmented into </w:t>
      </w:r>
      <w:r w:rsidR="0025218F" w:rsidRPr="00D02C43">
        <w:rPr>
          <w:sz w:val="22"/>
          <w:szCs w:val="20"/>
        </w:rPr>
        <w:t xml:space="preserve">replicate fragments spread across </w:t>
      </w:r>
      <w:r w:rsidRPr="00D02C43">
        <w:rPr>
          <w:sz w:val="22"/>
          <w:szCs w:val="20"/>
        </w:rPr>
        <w:t xml:space="preserve">three disease and </w:t>
      </w:r>
      <w:r w:rsidR="0025218F" w:rsidRPr="00D02C43">
        <w:rPr>
          <w:sz w:val="22"/>
          <w:szCs w:val="20"/>
        </w:rPr>
        <w:t xml:space="preserve">three healthy exposure 18-liter recirculating tanks at ambient seawater temperatures. Prior to placing in the tanks each fragment was experimentally lesioned with a waterpik to facilitate transmission </w:t>
      </w:r>
      <w:r w:rsidR="0025218F" w:rsidRPr="00D02C43">
        <w:rPr>
          <w:sz w:val="22"/>
          <w:szCs w:val="20"/>
        </w:rPr>
        <w:fldChar w:fldCharType="begin"/>
      </w:r>
      <w:r w:rsidR="0025218F" w:rsidRPr="00D02C43">
        <w:rPr>
          <w:sz w:val="22"/>
          <w:szCs w:val="20"/>
        </w:rPr>
        <w:instrText xml:space="preserve"> ADDIN ZOTERO_ITEM CSL_CITATION {"citationID":"LhuRtyV6","properties":{"formattedCitation":"(Gignoux-Wolfsohn et al. 2012)","plainCitation":"(Gignoux-Wolfsohn et al. 2012)","noteIndex":0},"citationItems":[{"id":8668,"uris":["http://zotero.org/users/1538077/items/D5N44MDF"],"itemData":{"id":8668,"type":"article-journal","container-title":"Scientific Reports","DOI":"10.1038/srep00804","ISSN":"2045-2322","issue":"1","journalAbbreviation":"Sci Rep","language":"en","page":"804","source":"DOI.org (Crossref)","title":"White Band Disease transmission in the threatened coral, &lt;i&gt;Acropora cervicornis&lt;/i&gt;","volume":"2","author":[{"family":"Gignoux-Wolfsohn","given":"S. A."},{"family":"Marks","given":"Christopher J."},{"family":"Vollmer","given":"Steven V."}],"issued":{"date-parts":[["2012",11,13]]}}}],"schema":"https://github.com/citation-style-language/schema/raw/master/csl-citation.json"} </w:instrText>
      </w:r>
      <w:r w:rsidR="0025218F" w:rsidRPr="00D02C43">
        <w:rPr>
          <w:sz w:val="22"/>
          <w:szCs w:val="20"/>
        </w:rPr>
        <w:fldChar w:fldCharType="separate"/>
      </w:r>
      <w:r w:rsidR="0025218F" w:rsidRPr="00D02C43">
        <w:rPr>
          <w:rFonts w:cs="Times New Roman"/>
          <w:sz w:val="22"/>
          <w:szCs w:val="20"/>
        </w:rPr>
        <w:t>(Gignoux-Wolfsohn et al. 2012)</w:t>
      </w:r>
      <w:r w:rsidR="0025218F" w:rsidRPr="00D02C43">
        <w:rPr>
          <w:sz w:val="22"/>
          <w:szCs w:val="20"/>
        </w:rPr>
        <w:fldChar w:fldCharType="end"/>
      </w:r>
      <w:r w:rsidR="0025218F" w:rsidRPr="00D02C43">
        <w:rPr>
          <w:sz w:val="22"/>
          <w:szCs w:val="20"/>
        </w:rPr>
        <w:t xml:space="preserve">. </w:t>
      </w:r>
      <w:commentRangeStart w:id="1"/>
      <w:r w:rsidR="0025218F" w:rsidRPr="00D02C43">
        <w:rPr>
          <w:sz w:val="22"/>
          <w:szCs w:val="20"/>
        </w:rPr>
        <w:t>The disease exposure tanks were exposed to 50ml of disease slurry produced from 10 WBD infected coral fragments while healthy exposed tanks were exposed to 50ml of healthy slurry from 10 healthy fragments. Slurries were produced by waterpiking disease or healthy coral tissue off the sampled corals in filtered seawater (FSW) and normalizing the slurry doses to a standard ocular density of 0.6 at 600nm</w:t>
      </w:r>
      <w:commentRangeEnd w:id="1"/>
      <w:r w:rsidR="0025218F" w:rsidRPr="00D02C43">
        <w:rPr>
          <w:rStyle w:val="CommentReference"/>
          <w:sz w:val="14"/>
          <w:szCs w:val="14"/>
        </w:rPr>
        <w:commentReference w:id="1"/>
      </w:r>
      <w:r w:rsidR="0025218F" w:rsidRPr="00D02C43">
        <w:rPr>
          <w:sz w:val="22"/>
          <w:szCs w:val="20"/>
        </w:rPr>
        <w:t>.</w:t>
      </w:r>
      <w:r w:rsidR="00BC7AFA" w:rsidRPr="00D02C43">
        <w:rPr>
          <w:sz w:val="22"/>
          <w:szCs w:val="20"/>
        </w:rPr>
        <w:t xml:space="preserve"> Fragment microbiomes were sampled at three timepoints, after fragmentation and placement in tanks (day 0), immediately following tank dosage with either diseased or healthy slurries (day 2), and one-week post-exposure (day 8). Samples were sequenced and bioinformatically processed in the same way as field sample collections (see above). </w:t>
      </w:r>
    </w:p>
    <w:p w14:paraId="6DB30CF7" w14:textId="50C37685" w:rsidR="00E969DB" w:rsidRDefault="006A5DF8" w:rsidP="00BC7AFA">
      <w:pPr>
        <w:ind w:firstLine="360"/>
        <w:rPr>
          <w:sz w:val="22"/>
          <w:szCs w:val="20"/>
        </w:rPr>
      </w:pPr>
      <w:r w:rsidRPr="00D02C43">
        <w:rPr>
          <w:sz w:val="22"/>
          <w:szCs w:val="20"/>
        </w:rPr>
        <w:t xml:space="preserve">The abundance of </w:t>
      </w:r>
      <w:r w:rsidR="00BC7AFA" w:rsidRPr="00D02C43">
        <w:rPr>
          <w:sz w:val="22"/>
          <w:szCs w:val="20"/>
        </w:rPr>
        <w:t xml:space="preserve">ASVs </w:t>
      </w:r>
      <w:r w:rsidRPr="00D02C43">
        <w:rPr>
          <w:sz w:val="22"/>
          <w:szCs w:val="20"/>
        </w:rPr>
        <w:t>consistently identified as discriminatory between healthy and diseased corals in the field were analyzed in the tank exposure experiment using a before-after control-impact design (</w:t>
      </w:r>
      <w:r w:rsidRPr="00D02C43">
        <w:rPr>
          <w:b/>
          <w:bCs/>
          <w:sz w:val="22"/>
          <w:szCs w:val="20"/>
        </w:rPr>
        <w:t>CITE</w:t>
      </w:r>
      <w:r w:rsidRPr="00D02C43">
        <w:rPr>
          <w:sz w:val="22"/>
          <w:szCs w:val="20"/>
        </w:rPr>
        <w:t xml:space="preserve">). To account for the repeated measurements we included a random effect for coral fragment nested </w:t>
      </w:r>
      <w:r w:rsidRPr="00D02C43">
        <w:rPr>
          <w:sz w:val="22"/>
          <w:szCs w:val="20"/>
        </w:rPr>
        <w:lastRenderedPageBreak/>
        <w:t xml:space="preserve">within random effects for both genotype and tank. </w:t>
      </w:r>
      <w:r w:rsidR="003D5A4F" w:rsidRPr="00D02C43">
        <w:rPr>
          <w:sz w:val="22"/>
          <w:szCs w:val="20"/>
        </w:rPr>
        <w:t xml:space="preserve">The fixed effect treatments analyzed were the exposure to the disease and whether the genotype got diseased when exposed to it (i.e., susceptible) or not (i.e., resistant). </w:t>
      </w:r>
    </w:p>
    <w:p w14:paraId="68E0AE59" w14:textId="28059A33" w:rsidR="0040362D" w:rsidRDefault="0040362D" w:rsidP="0040362D">
      <w:pPr>
        <w:pStyle w:val="Heading2"/>
      </w:pPr>
      <w:r>
        <w:t>ASV Correlation Network</w:t>
      </w:r>
    </w:p>
    <w:p w14:paraId="38613DA2" w14:textId="12EC505D" w:rsidR="0040362D" w:rsidRDefault="005006C6" w:rsidP="005006C6">
      <w:pPr>
        <w:pStyle w:val="ListParagraph"/>
        <w:numPr>
          <w:ilvl w:val="0"/>
          <w:numId w:val="9"/>
        </w:numPr>
      </w:pPr>
      <w:r>
        <w:t>Identify ASVs which across all field &amp; tank samples correlate strongly with implicated ASVs from previous steps</w:t>
      </w:r>
    </w:p>
    <w:p w14:paraId="21EA7579" w14:textId="77777777" w:rsidR="00093039" w:rsidRPr="0040362D" w:rsidRDefault="00093039" w:rsidP="005006C6">
      <w:pPr>
        <w:pStyle w:val="ListParagraph"/>
        <w:numPr>
          <w:ilvl w:val="0"/>
          <w:numId w:val="9"/>
        </w:numPr>
      </w:pPr>
    </w:p>
    <w:p w14:paraId="31DE258F" w14:textId="06BF69A9" w:rsidR="0003063A" w:rsidRPr="00D02C43" w:rsidRDefault="0003063A" w:rsidP="001F02BA">
      <w:pPr>
        <w:pStyle w:val="Heading2"/>
        <w:rPr>
          <w:sz w:val="22"/>
          <w:szCs w:val="24"/>
        </w:rPr>
      </w:pPr>
      <w:r w:rsidRPr="00D02C43">
        <w:rPr>
          <w:sz w:val="22"/>
          <w:szCs w:val="24"/>
        </w:rPr>
        <w:t xml:space="preserve">ASVs </w:t>
      </w:r>
      <w:r w:rsidR="001F02BA" w:rsidRPr="00D02C43">
        <w:rPr>
          <w:sz w:val="22"/>
          <w:szCs w:val="24"/>
        </w:rPr>
        <w:t>typing</w:t>
      </w:r>
    </w:p>
    <w:p w14:paraId="701477CF" w14:textId="7AEE2FE0" w:rsidR="00BA3194" w:rsidRPr="00D02C43" w:rsidRDefault="00F33D21" w:rsidP="00F33D21">
      <w:pPr>
        <w:pStyle w:val="ListParagraph"/>
        <w:numPr>
          <w:ilvl w:val="0"/>
          <w:numId w:val="7"/>
        </w:numPr>
        <w:rPr>
          <w:sz w:val="22"/>
          <w:szCs w:val="20"/>
        </w:rPr>
      </w:pPr>
      <w:r w:rsidRPr="00D02C43">
        <w:rPr>
          <w:sz w:val="22"/>
          <w:szCs w:val="20"/>
        </w:rPr>
        <w:t>How do we group together similar ASVs and how can they be classified into the schema described by vega Thurber</w:t>
      </w:r>
    </w:p>
    <w:p w14:paraId="694EB519" w14:textId="0F335600" w:rsidR="00F33D21" w:rsidRPr="00D02C43" w:rsidRDefault="00F33D21" w:rsidP="00F33D21">
      <w:pPr>
        <w:pStyle w:val="ListParagraph"/>
        <w:numPr>
          <w:ilvl w:val="1"/>
          <w:numId w:val="7"/>
        </w:numPr>
        <w:rPr>
          <w:sz w:val="22"/>
          <w:szCs w:val="20"/>
        </w:rPr>
      </w:pPr>
      <w:r w:rsidRPr="00D02C43">
        <w:rPr>
          <w:sz w:val="22"/>
          <w:szCs w:val="20"/>
        </w:rPr>
        <w:t>Pathogen</w:t>
      </w:r>
    </w:p>
    <w:p w14:paraId="21737D7E" w14:textId="2DB340AA" w:rsidR="00F33D21" w:rsidRPr="00D02C43" w:rsidRDefault="00F33D21" w:rsidP="00F33D21">
      <w:pPr>
        <w:pStyle w:val="ListParagraph"/>
        <w:numPr>
          <w:ilvl w:val="2"/>
          <w:numId w:val="7"/>
        </w:numPr>
        <w:rPr>
          <w:sz w:val="22"/>
          <w:szCs w:val="20"/>
        </w:rPr>
      </w:pPr>
      <w:r w:rsidRPr="00D02C43">
        <w:rPr>
          <w:sz w:val="22"/>
          <w:szCs w:val="20"/>
        </w:rPr>
        <w:t>ML – important</w:t>
      </w:r>
    </w:p>
    <w:p w14:paraId="41088492" w14:textId="5D9B14A2" w:rsidR="00F33D21" w:rsidRPr="00D02C43" w:rsidRDefault="00F33D21" w:rsidP="00F33D21">
      <w:pPr>
        <w:pStyle w:val="ListParagraph"/>
        <w:numPr>
          <w:ilvl w:val="2"/>
          <w:numId w:val="7"/>
        </w:numPr>
        <w:rPr>
          <w:sz w:val="22"/>
          <w:szCs w:val="20"/>
        </w:rPr>
      </w:pPr>
      <w:r w:rsidRPr="00D02C43">
        <w:rPr>
          <w:sz w:val="22"/>
          <w:szCs w:val="20"/>
        </w:rPr>
        <w:t>Field – D &gt; H @ all timepoints</w:t>
      </w:r>
    </w:p>
    <w:p w14:paraId="03527252" w14:textId="77777777" w:rsidR="00656BE2" w:rsidRPr="00D02C43" w:rsidRDefault="00F33D21" w:rsidP="00F33D21">
      <w:pPr>
        <w:pStyle w:val="ListParagraph"/>
        <w:numPr>
          <w:ilvl w:val="2"/>
          <w:numId w:val="7"/>
        </w:numPr>
        <w:rPr>
          <w:sz w:val="22"/>
          <w:szCs w:val="20"/>
        </w:rPr>
      </w:pPr>
      <w:r w:rsidRPr="00D02C43">
        <w:rPr>
          <w:sz w:val="22"/>
          <w:szCs w:val="20"/>
        </w:rPr>
        <w:t xml:space="preserve">Tank </w:t>
      </w:r>
    </w:p>
    <w:p w14:paraId="58CDA870" w14:textId="05400026" w:rsidR="00F33D21" w:rsidRPr="00D02C43" w:rsidRDefault="00656BE2" w:rsidP="00656BE2">
      <w:pPr>
        <w:pStyle w:val="ListParagraph"/>
        <w:numPr>
          <w:ilvl w:val="3"/>
          <w:numId w:val="7"/>
        </w:numPr>
        <w:rPr>
          <w:sz w:val="22"/>
          <w:szCs w:val="20"/>
        </w:rPr>
      </w:pPr>
      <w:r w:rsidRPr="00D02C43">
        <w:rPr>
          <w:rFonts w:cs="Times New Roman"/>
          <w:sz w:val="22"/>
          <w:szCs w:val="20"/>
        </w:rPr>
        <w:t>↑</w:t>
      </w:r>
      <w:r w:rsidRPr="00D02C43">
        <w:rPr>
          <w:sz w:val="22"/>
          <w:szCs w:val="20"/>
        </w:rPr>
        <w:t xml:space="preserve"> </w:t>
      </w:r>
      <w:r w:rsidR="00F33D21" w:rsidRPr="00D02C43">
        <w:rPr>
          <w:sz w:val="22"/>
          <w:szCs w:val="20"/>
        </w:rPr>
        <w:t xml:space="preserve">susceptible </w:t>
      </w:r>
      <w:r w:rsidRPr="00D02C43">
        <w:rPr>
          <w:sz w:val="22"/>
          <w:szCs w:val="20"/>
        </w:rPr>
        <w:t>post disease exposure</w:t>
      </w:r>
    </w:p>
    <w:p w14:paraId="14D7836C" w14:textId="048DA4C1" w:rsidR="00656BE2" w:rsidRPr="00D02C43" w:rsidRDefault="00656BE2" w:rsidP="00656BE2">
      <w:pPr>
        <w:pStyle w:val="ListParagraph"/>
        <w:numPr>
          <w:ilvl w:val="3"/>
          <w:numId w:val="7"/>
        </w:numPr>
        <w:rPr>
          <w:sz w:val="22"/>
          <w:szCs w:val="20"/>
        </w:rPr>
      </w:pPr>
      <w:r w:rsidRPr="00D02C43">
        <w:rPr>
          <w:sz w:val="22"/>
          <w:szCs w:val="20"/>
        </w:rPr>
        <w:t>Constant other treatments</w:t>
      </w:r>
    </w:p>
    <w:p w14:paraId="3D1F8CA8" w14:textId="57A7196D" w:rsidR="00F33D21" w:rsidRPr="00D02C43" w:rsidRDefault="00F33D21" w:rsidP="00F33D21">
      <w:pPr>
        <w:pStyle w:val="ListParagraph"/>
        <w:numPr>
          <w:ilvl w:val="1"/>
          <w:numId w:val="7"/>
        </w:numPr>
        <w:rPr>
          <w:sz w:val="22"/>
          <w:szCs w:val="20"/>
        </w:rPr>
      </w:pPr>
      <w:r w:rsidRPr="00D02C43">
        <w:rPr>
          <w:sz w:val="22"/>
          <w:szCs w:val="20"/>
        </w:rPr>
        <w:t xml:space="preserve">Opportunist – </w:t>
      </w:r>
    </w:p>
    <w:p w14:paraId="6504B6BE" w14:textId="66393200" w:rsidR="00F33D21" w:rsidRPr="00D02C43" w:rsidRDefault="00656BE2" w:rsidP="00F33D21">
      <w:pPr>
        <w:pStyle w:val="ListParagraph"/>
        <w:numPr>
          <w:ilvl w:val="2"/>
          <w:numId w:val="7"/>
        </w:numPr>
        <w:rPr>
          <w:sz w:val="22"/>
          <w:szCs w:val="20"/>
        </w:rPr>
      </w:pPr>
      <w:r w:rsidRPr="00D02C43">
        <w:rPr>
          <w:sz w:val="22"/>
          <w:szCs w:val="20"/>
        </w:rPr>
        <w:t>ML</w:t>
      </w:r>
    </w:p>
    <w:p w14:paraId="6F07EE7B" w14:textId="6E97BDC1" w:rsidR="00656BE2" w:rsidRPr="00D02C43" w:rsidRDefault="00656BE2" w:rsidP="00F33D21">
      <w:pPr>
        <w:pStyle w:val="ListParagraph"/>
        <w:numPr>
          <w:ilvl w:val="2"/>
          <w:numId w:val="7"/>
        </w:numPr>
        <w:rPr>
          <w:sz w:val="22"/>
          <w:szCs w:val="20"/>
        </w:rPr>
      </w:pPr>
      <w:r w:rsidRPr="00D02C43">
        <w:rPr>
          <w:sz w:val="22"/>
          <w:szCs w:val="20"/>
        </w:rPr>
        <w:t>Field – D &gt; H but doesn’t have to always be true</w:t>
      </w:r>
    </w:p>
    <w:p w14:paraId="0FEE6A0F" w14:textId="11D94866" w:rsidR="00656BE2" w:rsidRPr="00D02C43" w:rsidRDefault="00656BE2" w:rsidP="00F33D21">
      <w:pPr>
        <w:pStyle w:val="ListParagraph"/>
        <w:numPr>
          <w:ilvl w:val="2"/>
          <w:numId w:val="7"/>
        </w:numPr>
        <w:rPr>
          <w:sz w:val="22"/>
          <w:szCs w:val="20"/>
        </w:rPr>
      </w:pPr>
      <w:r w:rsidRPr="00D02C43">
        <w:rPr>
          <w:sz w:val="22"/>
          <w:szCs w:val="20"/>
        </w:rPr>
        <w:t xml:space="preserve">Tank </w:t>
      </w:r>
    </w:p>
    <w:p w14:paraId="1EE3CAC3" w14:textId="61E06F1B" w:rsidR="00656BE2" w:rsidRPr="00D02C43" w:rsidRDefault="00656BE2" w:rsidP="001C14CC">
      <w:pPr>
        <w:pStyle w:val="ListParagraph"/>
        <w:numPr>
          <w:ilvl w:val="3"/>
          <w:numId w:val="7"/>
        </w:numPr>
        <w:rPr>
          <w:sz w:val="22"/>
          <w:szCs w:val="20"/>
        </w:rPr>
      </w:pPr>
      <w:r w:rsidRPr="00D02C43">
        <w:rPr>
          <w:rFonts w:cs="Times New Roman"/>
          <w:sz w:val="22"/>
          <w:szCs w:val="20"/>
        </w:rPr>
        <w:t>↑</w:t>
      </w:r>
      <w:r w:rsidRPr="00D02C43">
        <w:rPr>
          <w:sz w:val="22"/>
          <w:szCs w:val="20"/>
        </w:rPr>
        <w:t xml:space="preserve"> susceptible &amp; resistant post disease exposure</w:t>
      </w:r>
    </w:p>
    <w:p w14:paraId="5C12DEED" w14:textId="6E910FAB" w:rsidR="00656BE2" w:rsidRPr="00D02C43" w:rsidRDefault="00656BE2" w:rsidP="001C14CC">
      <w:pPr>
        <w:pStyle w:val="ListParagraph"/>
        <w:numPr>
          <w:ilvl w:val="3"/>
          <w:numId w:val="7"/>
        </w:numPr>
        <w:rPr>
          <w:sz w:val="22"/>
          <w:szCs w:val="20"/>
        </w:rPr>
      </w:pPr>
      <w:r w:rsidRPr="00D02C43">
        <w:rPr>
          <w:sz w:val="22"/>
          <w:szCs w:val="20"/>
        </w:rPr>
        <w:t>Constant healthy exposure</w:t>
      </w:r>
    </w:p>
    <w:p w14:paraId="30896E0A" w14:textId="0A7ECC44" w:rsidR="00F33D21" w:rsidRPr="00D02C43" w:rsidRDefault="00F33D21" w:rsidP="00F33D21">
      <w:pPr>
        <w:pStyle w:val="ListParagraph"/>
        <w:numPr>
          <w:ilvl w:val="1"/>
          <w:numId w:val="7"/>
        </w:numPr>
        <w:rPr>
          <w:sz w:val="22"/>
          <w:szCs w:val="20"/>
        </w:rPr>
      </w:pPr>
      <w:r w:rsidRPr="00D02C43">
        <w:rPr>
          <w:sz w:val="22"/>
          <w:szCs w:val="20"/>
        </w:rPr>
        <w:t xml:space="preserve">Mutualist – </w:t>
      </w:r>
    </w:p>
    <w:p w14:paraId="63FA2B80" w14:textId="5D49BFE1" w:rsidR="00F33D21" w:rsidRPr="00D02C43" w:rsidRDefault="008F55C0" w:rsidP="00F33D21">
      <w:pPr>
        <w:pStyle w:val="ListParagraph"/>
        <w:numPr>
          <w:ilvl w:val="2"/>
          <w:numId w:val="7"/>
        </w:numPr>
        <w:rPr>
          <w:sz w:val="22"/>
          <w:szCs w:val="20"/>
        </w:rPr>
      </w:pPr>
      <w:r w:rsidRPr="00D02C43">
        <w:rPr>
          <w:sz w:val="22"/>
          <w:szCs w:val="20"/>
        </w:rPr>
        <w:t>ML</w:t>
      </w:r>
    </w:p>
    <w:p w14:paraId="6566A189" w14:textId="50CBD8F3" w:rsidR="008F55C0" w:rsidRPr="00D02C43" w:rsidRDefault="008F55C0" w:rsidP="00F33D21">
      <w:pPr>
        <w:pStyle w:val="ListParagraph"/>
        <w:numPr>
          <w:ilvl w:val="2"/>
          <w:numId w:val="7"/>
        </w:numPr>
        <w:rPr>
          <w:sz w:val="22"/>
          <w:szCs w:val="20"/>
        </w:rPr>
      </w:pPr>
      <w:r w:rsidRPr="00D02C43">
        <w:rPr>
          <w:sz w:val="22"/>
          <w:szCs w:val="20"/>
        </w:rPr>
        <w:t>Field</w:t>
      </w:r>
    </w:p>
    <w:p w14:paraId="1E039B75" w14:textId="25592ABC" w:rsidR="008F55C0" w:rsidRPr="00D02C43" w:rsidRDefault="008F55C0" w:rsidP="00F33D21">
      <w:pPr>
        <w:pStyle w:val="ListParagraph"/>
        <w:numPr>
          <w:ilvl w:val="2"/>
          <w:numId w:val="7"/>
        </w:numPr>
        <w:rPr>
          <w:sz w:val="22"/>
          <w:szCs w:val="20"/>
        </w:rPr>
      </w:pPr>
      <w:r w:rsidRPr="00D02C43">
        <w:rPr>
          <w:sz w:val="22"/>
          <w:szCs w:val="20"/>
        </w:rPr>
        <w:t>Tank</w:t>
      </w:r>
    </w:p>
    <w:p w14:paraId="5BB3AC3F" w14:textId="00EAA355" w:rsidR="008F55C0" w:rsidRPr="00D02C43" w:rsidRDefault="008F55C0" w:rsidP="008F55C0">
      <w:pPr>
        <w:pStyle w:val="ListParagraph"/>
        <w:numPr>
          <w:ilvl w:val="3"/>
          <w:numId w:val="7"/>
        </w:numPr>
        <w:rPr>
          <w:sz w:val="22"/>
          <w:szCs w:val="20"/>
        </w:rPr>
      </w:pPr>
      <w:r w:rsidRPr="00D02C43">
        <w:rPr>
          <w:rFonts w:cs="Times New Roman"/>
          <w:sz w:val="22"/>
          <w:szCs w:val="20"/>
        </w:rPr>
        <w:t>↓</w:t>
      </w:r>
      <w:r w:rsidRPr="00D02C43">
        <w:rPr>
          <w:sz w:val="22"/>
          <w:szCs w:val="20"/>
        </w:rPr>
        <w:t xml:space="preserve"> post disease exposure (more-so susceptible?)</w:t>
      </w:r>
    </w:p>
    <w:p w14:paraId="28BD7FD3" w14:textId="0D5BE88B" w:rsidR="00F33D21" w:rsidRPr="00D02C43" w:rsidRDefault="00F33D21" w:rsidP="00F33D21">
      <w:pPr>
        <w:pStyle w:val="ListParagraph"/>
        <w:numPr>
          <w:ilvl w:val="1"/>
          <w:numId w:val="7"/>
        </w:numPr>
        <w:rPr>
          <w:sz w:val="22"/>
          <w:szCs w:val="20"/>
        </w:rPr>
      </w:pPr>
      <w:r w:rsidRPr="00D02C43">
        <w:rPr>
          <w:sz w:val="22"/>
          <w:szCs w:val="20"/>
        </w:rPr>
        <w:t xml:space="preserve">Beneficial – </w:t>
      </w:r>
    </w:p>
    <w:p w14:paraId="19907F91" w14:textId="77777777" w:rsidR="00F33D21" w:rsidRPr="00D02C43" w:rsidRDefault="00F33D21" w:rsidP="00F33D21">
      <w:pPr>
        <w:pStyle w:val="ListParagraph"/>
        <w:numPr>
          <w:ilvl w:val="2"/>
          <w:numId w:val="7"/>
        </w:numPr>
        <w:rPr>
          <w:sz w:val="22"/>
          <w:szCs w:val="20"/>
        </w:rPr>
      </w:pPr>
    </w:p>
    <w:p w14:paraId="3C6CEF66" w14:textId="7F8266B6" w:rsidR="00F33D21" w:rsidRPr="00D02C43" w:rsidRDefault="00F33D21" w:rsidP="00F33D21">
      <w:pPr>
        <w:pStyle w:val="ListParagraph"/>
        <w:numPr>
          <w:ilvl w:val="1"/>
          <w:numId w:val="7"/>
        </w:numPr>
        <w:rPr>
          <w:sz w:val="22"/>
          <w:szCs w:val="20"/>
        </w:rPr>
      </w:pPr>
      <w:r w:rsidRPr="00D02C43">
        <w:rPr>
          <w:sz w:val="22"/>
          <w:szCs w:val="20"/>
        </w:rPr>
        <w:t xml:space="preserve">Commensalist - </w:t>
      </w:r>
    </w:p>
    <w:p w14:paraId="47A53291" w14:textId="5C99C5B7" w:rsidR="00F33D21" w:rsidRPr="00D02C43" w:rsidRDefault="008F55C0" w:rsidP="00F33D21">
      <w:pPr>
        <w:pStyle w:val="ListParagraph"/>
        <w:numPr>
          <w:ilvl w:val="2"/>
          <w:numId w:val="7"/>
        </w:numPr>
        <w:rPr>
          <w:sz w:val="22"/>
          <w:szCs w:val="20"/>
        </w:rPr>
      </w:pPr>
      <w:r w:rsidRPr="00D02C43">
        <w:rPr>
          <w:sz w:val="22"/>
          <w:szCs w:val="20"/>
        </w:rPr>
        <w:t>Unchanging across tank/field &amp; not ML important</w:t>
      </w:r>
    </w:p>
    <w:p w14:paraId="357A317E" w14:textId="3C1E439B" w:rsidR="00205E76" w:rsidRPr="00D02C43" w:rsidRDefault="00205E76" w:rsidP="00644F8B">
      <w:pPr>
        <w:ind w:firstLine="360"/>
        <w:rPr>
          <w:sz w:val="22"/>
          <w:szCs w:val="20"/>
        </w:rPr>
      </w:pPr>
      <w:r w:rsidRPr="00D02C43">
        <w:rPr>
          <w:sz w:val="22"/>
          <w:szCs w:val="20"/>
        </w:rPr>
        <w:t xml:space="preserve">ASVs with significant increases in abundance in the susceptible fragments exposed to the disease (i.e., those which got the disease) without a comparable increase in the other treatments were classified as putative pathogens. ASVs significantly more abundant in resistant genotypes when exposed to disease were classified as potential </w:t>
      </w:r>
    </w:p>
    <w:p w14:paraId="7DA8A6F3" w14:textId="7F9A3885" w:rsidR="00920A09" w:rsidRPr="00D02C43" w:rsidRDefault="00920A09" w:rsidP="00E72917">
      <w:pPr>
        <w:pStyle w:val="Heading1"/>
        <w:rPr>
          <w:sz w:val="22"/>
          <w:szCs w:val="28"/>
        </w:rPr>
      </w:pPr>
      <w:r w:rsidRPr="00D02C43">
        <w:rPr>
          <w:sz w:val="22"/>
          <w:szCs w:val="28"/>
        </w:rPr>
        <w:t>Results</w:t>
      </w:r>
    </w:p>
    <w:p w14:paraId="72CA7915" w14:textId="3FD1EF64" w:rsidR="00B91A5D" w:rsidRPr="00D02C43" w:rsidRDefault="00FD2868" w:rsidP="000E3FA6">
      <w:pPr>
        <w:ind w:firstLine="360"/>
        <w:rPr>
          <w:sz w:val="22"/>
          <w:szCs w:val="20"/>
        </w:rPr>
      </w:pPr>
      <w:r w:rsidRPr="00D02C43">
        <w:rPr>
          <w:sz w:val="22"/>
          <w:szCs w:val="20"/>
        </w:rPr>
        <w:t>The prevalence of white band disease in Bocas del Toro, Panama was found to significantly vary through time (</w:t>
      </w:r>
      <w:r w:rsidRPr="00D02C43">
        <w:rPr>
          <w:rFonts w:cs="Times New Roman"/>
          <w:sz w:val="22"/>
          <w:szCs w:val="20"/>
        </w:rPr>
        <w:t>χ</w:t>
      </w:r>
      <w:r w:rsidRPr="00D02C43">
        <w:rPr>
          <w:sz w:val="22"/>
          <w:szCs w:val="20"/>
          <w:vertAlign w:val="superscript"/>
        </w:rPr>
        <w:t>2</w:t>
      </w:r>
      <w:r w:rsidRPr="00D02C43">
        <w:rPr>
          <w:sz w:val="22"/>
          <w:szCs w:val="20"/>
          <w:vertAlign w:val="subscript"/>
        </w:rPr>
        <w:t>(4)</w:t>
      </w:r>
      <w:r w:rsidRPr="00D02C43">
        <w:rPr>
          <w:sz w:val="22"/>
          <w:szCs w:val="20"/>
        </w:rPr>
        <w:t xml:space="preserve"> = 99.98,</w:t>
      </w:r>
      <w:r w:rsidR="005271D9">
        <w:rPr>
          <w:sz w:val="22"/>
          <w:szCs w:val="20"/>
        </w:rPr>
        <w:t xml:space="preserve"> </w:t>
      </w:r>
      <w:r w:rsidRPr="00D02C43">
        <w:rPr>
          <w:i/>
          <w:iCs/>
          <w:sz w:val="22"/>
          <w:szCs w:val="20"/>
        </w:rPr>
        <w:t xml:space="preserve">p </w:t>
      </w:r>
      <w:r w:rsidRPr="00D02C43">
        <w:rPr>
          <w:sz w:val="22"/>
          <w:szCs w:val="20"/>
        </w:rPr>
        <w:t>&lt; 0.0001</w:t>
      </w:r>
      <w:r w:rsidR="00126D4C" w:rsidRPr="00D02C43">
        <w:rPr>
          <w:sz w:val="22"/>
          <w:szCs w:val="20"/>
        </w:rPr>
        <w:t>, Figure 1</w:t>
      </w:r>
      <w:r w:rsidRPr="00D02C43">
        <w:rPr>
          <w:sz w:val="22"/>
          <w:szCs w:val="20"/>
        </w:rPr>
        <w:t>)</w:t>
      </w:r>
      <w:r w:rsidR="00126D4C" w:rsidRPr="00D02C43">
        <w:rPr>
          <w:sz w:val="22"/>
          <w:szCs w:val="20"/>
        </w:rPr>
        <w:t>. In particular we found that there is a somewhat circular oscillation between a relative high of 56.9% (</w:t>
      </w:r>
      <w:r w:rsidR="005271D9">
        <w:rPr>
          <w:rFonts w:cs="Times New Roman"/>
          <w:sz w:val="22"/>
          <w:szCs w:val="20"/>
        </w:rPr>
        <w:t xml:space="preserve"> ± </w:t>
      </w:r>
      <w:r w:rsidR="00126D4C" w:rsidRPr="00D02C43">
        <w:rPr>
          <w:sz w:val="22"/>
          <w:szCs w:val="20"/>
        </w:rPr>
        <w:t>3</w:t>
      </w:r>
      <w:r w:rsidR="00B63057" w:rsidRPr="00D02C43">
        <w:rPr>
          <w:sz w:val="22"/>
          <w:szCs w:val="20"/>
        </w:rPr>
        <w:t>.4</w:t>
      </w:r>
      <w:r w:rsidR="00126D4C" w:rsidRPr="00D02C43">
        <w:rPr>
          <w:sz w:val="22"/>
          <w:szCs w:val="20"/>
        </w:rPr>
        <w:t xml:space="preserve">% SE) which we observed in January 2016 and a relative low of 25.5% </w:t>
      </w:r>
      <w:r w:rsidR="00B63057" w:rsidRPr="00D02C43">
        <w:rPr>
          <w:sz w:val="22"/>
          <w:szCs w:val="20"/>
        </w:rPr>
        <w:t>(</w:t>
      </w:r>
      <w:r w:rsidR="005271D9">
        <w:rPr>
          <w:rFonts w:cs="Times New Roman"/>
          <w:sz w:val="22"/>
          <w:szCs w:val="20"/>
        </w:rPr>
        <w:t xml:space="preserve"> ± </w:t>
      </w:r>
      <w:r w:rsidR="00B63057" w:rsidRPr="00D02C43">
        <w:rPr>
          <w:sz w:val="22"/>
          <w:szCs w:val="20"/>
        </w:rPr>
        <w:t>2.3% SE) occurring during the July 2015 and January 2017 sampling. This oscillatory period does not appear to reflect a seasonal cycle (January: 38.7%</w:t>
      </w:r>
      <w:r w:rsidR="005271D9">
        <w:rPr>
          <w:sz w:val="22"/>
          <w:szCs w:val="20"/>
        </w:rPr>
        <w:t xml:space="preserve"> </w:t>
      </w:r>
      <w:r w:rsidR="005271D9">
        <w:rPr>
          <w:rFonts w:cs="Times New Roman"/>
          <w:sz w:val="22"/>
          <w:szCs w:val="20"/>
        </w:rPr>
        <w:t xml:space="preserve">± </w:t>
      </w:r>
      <w:r w:rsidR="00B63057" w:rsidRPr="00D02C43">
        <w:rPr>
          <w:sz w:val="22"/>
          <w:szCs w:val="20"/>
        </w:rPr>
        <w:t>2.9% SE, July: 38.9%</w:t>
      </w:r>
      <w:r w:rsidR="005271D9">
        <w:rPr>
          <w:sz w:val="22"/>
          <w:szCs w:val="20"/>
        </w:rPr>
        <w:t xml:space="preserve"> </w:t>
      </w:r>
      <w:r w:rsidR="005271D9">
        <w:rPr>
          <w:rFonts w:cs="Times New Roman"/>
          <w:sz w:val="22"/>
          <w:szCs w:val="20"/>
        </w:rPr>
        <w:t xml:space="preserve">± </w:t>
      </w:r>
      <w:r w:rsidR="00B63057" w:rsidRPr="00D02C43">
        <w:rPr>
          <w:sz w:val="22"/>
          <w:szCs w:val="20"/>
        </w:rPr>
        <w:t xml:space="preserve">2.5%, </w:t>
      </w:r>
      <w:r w:rsidR="00B63057" w:rsidRPr="00D02C43">
        <w:rPr>
          <w:i/>
          <w:iCs/>
          <w:sz w:val="22"/>
          <w:szCs w:val="20"/>
        </w:rPr>
        <w:t xml:space="preserve">p </w:t>
      </w:r>
      <w:r w:rsidR="00B63057" w:rsidRPr="00D02C43">
        <w:rPr>
          <w:sz w:val="22"/>
          <w:szCs w:val="20"/>
        </w:rPr>
        <w:t>= 0.949) but may be related to annual differences with 2015 (28.0%</w:t>
      </w:r>
      <w:r w:rsidR="005271D9">
        <w:rPr>
          <w:sz w:val="22"/>
          <w:szCs w:val="20"/>
        </w:rPr>
        <w:t xml:space="preserve"> </w:t>
      </w:r>
      <w:r w:rsidR="005271D9">
        <w:rPr>
          <w:rFonts w:cs="Times New Roman"/>
          <w:sz w:val="22"/>
          <w:szCs w:val="20"/>
        </w:rPr>
        <w:t xml:space="preserve">± </w:t>
      </w:r>
      <w:r w:rsidR="00B63057" w:rsidRPr="00D02C43">
        <w:rPr>
          <w:sz w:val="22"/>
          <w:szCs w:val="20"/>
        </w:rPr>
        <w:t>2.9% SE) and 2017 (34.4%</w:t>
      </w:r>
      <w:r w:rsidR="005271D9">
        <w:rPr>
          <w:sz w:val="22"/>
          <w:szCs w:val="20"/>
        </w:rPr>
        <w:t xml:space="preserve"> </w:t>
      </w:r>
      <w:r w:rsidR="005271D9">
        <w:rPr>
          <w:rFonts w:cs="Times New Roman"/>
          <w:sz w:val="22"/>
          <w:szCs w:val="20"/>
        </w:rPr>
        <w:t xml:space="preserve">± </w:t>
      </w:r>
      <w:r w:rsidR="00B63057" w:rsidRPr="00D02C43">
        <w:rPr>
          <w:sz w:val="22"/>
          <w:szCs w:val="20"/>
        </w:rPr>
        <w:t>2.7% SE) having significantly lower disease prevalence than 2016 (49.5%</w:t>
      </w:r>
      <w:r w:rsidR="005271D9">
        <w:rPr>
          <w:sz w:val="22"/>
          <w:szCs w:val="20"/>
        </w:rPr>
        <w:t xml:space="preserve"> </w:t>
      </w:r>
      <w:r w:rsidR="005271D9">
        <w:rPr>
          <w:rFonts w:cs="Times New Roman"/>
          <w:sz w:val="22"/>
          <w:szCs w:val="20"/>
        </w:rPr>
        <w:t xml:space="preserve">± </w:t>
      </w:r>
      <w:r w:rsidR="00B63057" w:rsidRPr="00D02C43">
        <w:rPr>
          <w:sz w:val="22"/>
          <w:szCs w:val="20"/>
        </w:rPr>
        <w:t xml:space="preserve">2.9% SE, </w:t>
      </w:r>
      <w:r w:rsidR="00B63057" w:rsidRPr="00D02C43">
        <w:rPr>
          <w:i/>
          <w:iCs/>
          <w:sz w:val="22"/>
          <w:szCs w:val="20"/>
        </w:rPr>
        <w:t>p</w:t>
      </w:r>
      <w:r w:rsidR="00B63057" w:rsidRPr="00D02C43">
        <w:rPr>
          <w:sz w:val="22"/>
          <w:szCs w:val="20"/>
        </w:rPr>
        <w:t xml:space="preserve"> </w:t>
      </w:r>
      <w:r w:rsidR="00EE13DD" w:rsidRPr="00D02C43">
        <w:rPr>
          <w:sz w:val="22"/>
          <w:szCs w:val="20"/>
        </w:rPr>
        <w:t>&lt; 0.001</w:t>
      </w:r>
      <w:r w:rsidR="00B63057" w:rsidRPr="00D02C43">
        <w:rPr>
          <w:sz w:val="22"/>
          <w:szCs w:val="20"/>
        </w:rPr>
        <w:t>) and only marginally different disease prevalence between them (</w:t>
      </w:r>
      <w:r w:rsidR="00EE13DD" w:rsidRPr="00D02C43">
        <w:rPr>
          <w:i/>
          <w:iCs/>
          <w:sz w:val="22"/>
          <w:szCs w:val="20"/>
        </w:rPr>
        <w:t xml:space="preserve">p </w:t>
      </w:r>
      <w:r w:rsidR="00EE13DD" w:rsidRPr="00D02C43">
        <w:rPr>
          <w:sz w:val="22"/>
          <w:szCs w:val="20"/>
        </w:rPr>
        <w:t>= 0.044</w:t>
      </w:r>
      <w:commentRangeStart w:id="2"/>
      <w:r w:rsidR="00B63057" w:rsidRPr="00D02C43">
        <w:rPr>
          <w:sz w:val="22"/>
          <w:szCs w:val="20"/>
        </w:rPr>
        <w:t>).</w:t>
      </w:r>
      <w:r w:rsidR="000E3FA6">
        <w:rPr>
          <w:sz w:val="22"/>
          <w:szCs w:val="20"/>
        </w:rPr>
        <w:t xml:space="preserve"> </w:t>
      </w:r>
      <w:r w:rsidR="00B91A5D" w:rsidRPr="00D02C43">
        <w:rPr>
          <w:sz w:val="22"/>
          <w:szCs w:val="20"/>
        </w:rPr>
        <w:t>W</w:t>
      </w:r>
      <w:commentRangeEnd w:id="2"/>
      <w:r w:rsidR="004D253D">
        <w:rPr>
          <w:rStyle w:val="CommentReference"/>
        </w:rPr>
        <w:commentReference w:id="2"/>
      </w:r>
      <w:r w:rsidR="00B91A5D" w:rsidRPr="00D02C43">
        <w:rPr>
          <w:sz w:val="22"/>
          <w:szCs w:val="20"/>
        </w:rPr>
        <w:t xml:space="preserve">e found strongly significant </w:t>
      </w:r>
      <w:r w:rsidR="00B91A5D" w:rsidRPr="00D02C43">
        <w:rPr>
          <w:sz w:val="22"/>
          <w:szCs w:val="20"/>
        </w:rPr>
        <w:lastRenderedPageBreak/>
        <w:t>differentiation in the microbial communities of healthy and diseased corals (r</w:t>
      </w:r>
      <w:r w:rsidR="00B91A5D" w:rsidRPr="00D02C43">
        <w:rPr>
          <w:sz w:val="22"/>
          <w:szCs w:val="20"/>
          <w:vertAlign w:val="superscript"/>
        </w:rPr>
        <w:t>2</w:t>
      </w:r>
      <w:r w:rsidR="00B91A5D" w:rsidRPr="00D02C43">
        <w:rPr>
          <w:sz w:val="22"/>
          <w:szCs w:val="20"/>
        </w:rPr>
        <w:t xml:space="preserve"> = 0.52, </w:t>
      </w:r>
      <w:r w:rsidR="00B91A5D" w:rsidRPr="00D02C43">
        <w:rPr>
          <w:i/>
          <w:iCs/>
          <w:sz w:val="22"/>
          <w:szCs w:val="20"/>
        </w:rPr>
        <w:t xml:space="preserve">p </w:t>
      </w:r>
      <w:r w:rsidR="00B91A5D" w:rsidRPr="00D02C43">
        <w:rPr>
          <w:sz w:val="22"/>
          <w:szCs w:val="20"/>
        </w:rPr>
        <w:t>&lt; 0.0001, Figure 2A). The differences in microbial community between healthy and diseased colonies was of the same magnitude as between sampling sites (r</w:t>
      </w:r>
      <w:r w:rsidR="00B91A5D" w:rsidRPr="00D02C43">
        <w:rPr>
          <w:sz w:val="22"/>
          <w:szCs w:val="20"/>
          <w:vertAlign w:val="superscript"/>
        </w:rPr>
        <w:t>2</w:t>
      </w:r>
      <w:r w:rsidR="00B91A5D" w:rsidRPr="00D02C43">
        <w:rPr>
          <w:sz w:val="22"/>
          <w:szCs w:val="20"/>
        </w:rPr>
        <w:t xml:space="preserve"> = 0.53, </w:t>
      </w:r>
      <w:r w:rsidR="00B91A5D" w:rsidRPr="00D02C43">
        <w:rPr>
          <w:i/>
          <w:iCs/>
          <w:sz w:val="22"/>
          <w:szCs w:val="20"/>
        </w:rPr>
        <w:t xml:space="preserve">p </w:t>
      </w:r>
      <w:r w:rsidR="00B91A5D" w:rsidRPr="00D02C43">
        <w:rPr>
          <w:sz w:val="22"/>
          <w:szCs w:val="20"/>
        </w:rPr>
        <w:t>&lt; 0.0001, Figure 2B) with communities significantly differing by year (r</w:t>
      </w:r>
      <w:r w:rsidR="00B91A5D" w:rsidRPr="00D02C43">
        <w:rPr>
          <w:sz w:val="22"/>
          <w:szCs w:val="20"/>
          <w:vertAlign w:val="superscript"/>
        </w:rPr>
        <w:t>2</w:t>
      </w:r>
      <w:r w:rsidR="00B91A5D" w:rsidRPr="00D02C43">
        <w:rPr>
          <w:sz w:val="22"/>
          <w:szCs w:val="20"/>
        </w:rPr>
        <w:t xml:space="preserve"> = 0.11, </w:t>
      </w:r>
      <w:r w:rsidR="00B91A5D" w:rsidRPr="00D02C43">
        <w:rPr>
          <w:i/>
          <w:iCs/>
          <w:sz w:val="22"/>
          <w:szCs w:val="20"/>
        </w:rPr>
        <w:t xml:space="preserve">p </w:t>
      </w:r>
      <w:r w:rsidR="00B91A5D" w:rsidRPr="00D02C43">
        <w:rPr>
          <w:sz w:val="22"/>
          <w:szCs w:val="20"/>
        </w:rPr>
        <w:t>&lt; 0.0001, Figure 2C) and season (r</w:t>
      </w:r>
      <w:r w:rsidR="00B91A5D" w:rsidRPr="00D02C43">
        <w:rPr>
          <w:sz w:val="22"/>
          <w:szCs w:val="20"/>
          <w:vertAlign w:val="superscript"/>
        </w:rPr>
        <w:t>2</w:t>
      </w:r>
      <w:r w:rsidR="00B91A5D" w:rsidRPr="00D02C43">
        <w:rPr>
          <w:sz w:val="22"/>
          <w:szCs w:val="20"/>
        </w:rPr>
        <w:t xml:space="preserve"> = 0.17, </w:t>
      </w:r>
      <w:r w:rsidR="00B91A5D" w:rsidRPr="00D02C43">
        <w:rPr>
          <w:i/>
          <w:iCs/>
          <w:sz w:val="22"/>
          <w:szCs w:val="20"/>
        </w:rPr>
        <w:t xml:space="preserve">p </w:t>
      </w:r>
      <w:r w:rsidR="00B91A5D" w:rsidRPr="00D02C43">
        <w:rPr>
          <w:sz w:val="22"/>
          <w:szCs w:val="20"/>
        </w:rPr>
        <w:t>&lt; 0.0001, Figure 2D) to a lesser extent.</w:t>
      </w:r>
      <w:r w:rsidR="00B82E73">
        <w:rPr>
          <w:sz w:val="22"/>
          <w:szCs w:val="20"/>
        </w:rPr>
        <w:t xml:space="preserve"> </w:t>
      </w:r>
    </w:p>
    <w:p w14:paraId="204E05B6" w14:textId="594778CA" w:rsidR="007A7DF0" w:rsidRPr="00D02C43" w:rsidRDefault="004846E3" w:rsidP="00126D4C">
      <w:pPr>
        <w:ind w:firstLine="360"/>
        <w:rPr>
          <w:sz w:val="22"/>
          <w:szCs w:val="20"/>
        </w:rPr>
      </w:pPr>
      <w:r w:rsidRPr="00D02C43">
        <w:rPr>
          <w:sz w:val="22"/>
          <w:szCs w:val="20"/>
        </w:rPr>
        <w:t>Of the six tested predictive models four were found to be of equivalent high quality in classifying the training data and similarly high quality with the test dataset (Table 1, Figure 3). Specifically, we found after tuning the best model using a metric combining accuracy, ROC/AUC and Brier score to be a multilayer perceptron</w:t>
      </w:r>
      <w:r w:rsidR="009B529F" w:rsidRPr="00D02C43">
        <w:rPr>
          <w:sz w:val="22"/>
          <w:szCs w:val="20"/>
        </w:rPr>
        <w:t xml:space="preserve"> </w:t>
      </w:r>
      <w:r w:rsidR="00A066D3" w:rsidRPr="00D02C43">
        <w:rPr>
          <w:sz w:val="22"/>
          <w:szCs w:val="20"/>
        </w:rPr>
        <w:t xml:space="preserve">with </w:t>
      </w:r>
      <w:commentRangeStart w:id="3"/>
      <w:r w:rsidR="00A066D3" w:rsidRPr="00D02C43">
        <w:rPr>
          <w:sz w:val="22"/>
          <w:szCs w:val="20"/>
        </w:rPr>
        <w:t>five hidden units, a dropout rate of 0.01 and a learning rate of 0.17 trained for 34 epochs using the elu activation function</w:t>
      </w:r>
      <w:commentRangeEnd w:id="3"/>
      <w:r w:rsidR="00A066D3" w:rsidRPr="00D02C43">
        <w:rPr>
          <w:rStyle w:val="CommentReference"/>
          <w:sz w:val="14"/>
          <w:szCs w:val="14"/>
        </w:rPr>
        <w:commentReference w:id="3"/>
      </w:r>
      <w:r w:rsidR="00E00689" w:rsidRPr="00D02C43">
        <w:rPr>
          <w:sz w:val="22"/>
          <w:szCs w:val="20"/>
        </w:rPr>
        <w:t>. The other equivalently good models were the support vector machine</w:t>
      </w:r>
      <w:r w:rsidR="00A066D3" w:rsidRPr="00D02C43">
        <w:rPr>
          <w:sz w:val="22"/>
          <w:szCs w:val="20"/>
        </w:rPr>
        <w:t xml:space="preserve"> (cost = 0.00098)</w:t>
      </w:r>
      <w:r w:rsidR="00E00689" w:rsidRPr="00D02C43">
        <w:rPr>
          <w:sz w:val="22"/>
          <w:szCs w:val="20"/>
        </w:rPr>
        <w:t>, lasso regression</w:t>
      </w:r>
      <w:r w:rsidR="00A066D3" w:rsidRPr="00D02C43">
        <w:rPr>
          <w:sz w:val="22"/>
          <w:szCs w:val="20"/>
        </w:rPr>
        <w:t xml:space="preserve"> (penalty = 1 x 10</w:t>
      </w:r>
      <w:r w:rsidR="00A066D3" w:rsidRPr="00D02C43">
        <w:rPr>
          <w:sz w:val="22"/>
          <w:szCs w:val="20"/>
          <w:vertAlign w:val="superscript"/>
        </w:rPr>
        <w:t>-10</w:t>
      </w:r>
      <w:r w:rsidR="00A066D3" w:rsidRPr="00D02C43">
        <w:rPr>
          <w:sz w:val="22"/>
          <w:szCs w:val="20"/>
        </w:rPr>
        <w:t>)</w:t>
      </w:r>
      <w:r w:rsidR="00E00689" w:rsidRPr="00D02C43">
        <w:rPr>
          <w:sz w:val="22"/>
          <w:szCs w:val="20"/>
        </w:rPr>
        <w:t xml:space="preserve">, and random forest </w:t>
      </w:r>
      <w:r w:rsidR="00A066D3" w:rsidRPr="00D02C43">
        <w:rPr>
          <w:sz w:val="22"/>
          <w:szCs w:val="20"/>
        </w:rPr>
        <w:t xml:space="preserve">(mtry = 55, trees = 438, min_n = 2) </w:t>
      </w:r>
      <w:r w:rsidR="00E00689" w:rsidRPr="00D02C43">
        <w:rPr>
          <w:sz w:val="22"/>
          <w:szCs w:val="20"/>
        </w:rPr>
        <w:t>which all had test set accuracies greater than 97%.</w:t>
      </w:r>
      <w:r w:rsidR="00A066D3" w:rsidRPr="00D02C43">
        <w:rPr>
          <w:sz w:val="22"/>
          <w:szCs w:val="20"/>
        </w:rPr>
        <w:t xml:space="preserve"> While the k-nearest neighbor (test accuracy = 96.2%) and partial least squares (test accuracy = 99.0%) were both substantially better than the null model (test accuracy = 65.4%) neither was equivalent to the multilayer perceptron model across all quality metrics</w:t>
      </w:r>
      <w:r w:rsidR="00852A6D" w:rsidRPr="00D02C43">
        <w:rPr>
          <w:sz w:val="22"/>
          <w:szCs w:val="20"/>
        </w:rPr>
        <w:t xml:space="preserve"> with lower accuracy and ROC/AUC in the k-nearest neighbor model and less confident classifications (Brier score) in the partial least squares model</w:t>
      </w:r>
      <w:r w:rsidR="001F1B27" w:rsidRPr="00D02C43">
        <w:rPr>
          <w:sz w:val="22"/>
          <w:szCs w:val="20"/>
        </w:rPr>
        <w:t xml:space="preserve"> (Table 1)</w:t>
      </w:r>
      <w:r w:rsidR="00A066D3" w:rsidRPr="00D02C43">
        <w:rPr>
          <w:sz w:val="22"/>
          <w:szCs w:val="20"/>
        </w:rPr>
        <w:t xml:space="preserve">. </w:t>
      </w:r>
    </w:p>
    <w:p w14:paraId="4273B5FE" w14:textId="61038600" w:rsidR="009C010B" w:rsidRPr="00D02C43" w:rsidRDefault="00C37CD5" w:rsidP="00824E39">
      <w:pPr>
        <w:ind w:firstLine="360"/>
        <w:rPr>
          <w:sz w:val="22"/>
          <w:szCs w:val="20"/>
        </w:rPr>
      </w:pPr>
      <w:commentRangeStart w:id="4"/>
      <w:r w:rsidRPr="00D02C43">
        <w:rPr>
          <w:sz w:val="22"/>
          <w:szCs w:val="20"/>
        </w:rPr>
        <w:t xml:space="preserve">The </w:t>
      </w:r>
      <w:r w:rsidR="000E3FA6" w:rsidRPr="00D02C43">
        <w:rPr>
          <w:sz w:val="22"/>
          <w:szCs w:val="20"/>
        </w:rPr>
        <w:t>high-quality</w:t>
      </w:r>
      <w:r w:rsidRPr="00D02C43">
        <w:rPr>
          <w:sz w:val="22"/>
          <w:szCs w:val="20"/>
        </w:rPr>
        <w:t xml:space="preserve"> models consistently identified 12 ASVs as of above average importance in classifying healthy and diseased corals (</w:t>
      </w:r>
      <w:r w:rsidR="000E3FA6">
        <w:rPr>
          <w:sz w:val="22"/>
          <w:szCs w:val="20"/>
        </w:rPr>
        <w:t xml:space="preserve">Table 2, </w:t>
      </w:r>
      <w:r w:rsidRPr="00D02C43">
        <w:rPr>
          <w:sz w:val="22"/>
          <w:szCs w:val="20"/>
        </w:rPr>
        <w:t>Figure 4</w:t>
      </w:r>
      <w:r w:rsidR="00F14344">
        <w:rPr>
          <w:sz w:val="22"/>
          <w:szCs w:val="20"/>
        </w:rPr>
        <w:t>, Figure 5</w:t>
      </w:r>
      <w:r w:rsidRPr="00D02C43">
        <w:rPr>
          <w:sz w:val="22"/>
          <w:szCs w:val="20"/>
        </w:rPr>
        <w:t xml:space="preserve">). </w:t>
      </w:r>
      <w:r w:rsidR="000E3FA6">
        <w:rPr>
          <w:sz w:val="22"/>
          <w:szCs w:val="20"/>
        </w:rPr>
        <w:t xml:space="preserve">Of these 12 important ASVs </w:t>
      </w:r>
      <w:r w:rsidR="0060506F">
        <w:rPr>
          <w:sz w:val="22"/>
          <w:szCs w:val="20"/>
        </w:rPr>
        <w:t>three were found to have inconsistent differential abundances across sampling timepoints, a Rhodobacteraceae (ASV15) which did not differ between healthy and diseased samples in January 2016 (</w:t>
      </w:r>
      <w:r w:rsidR="00A31A32">
        <w:rPr>
          <w:sz w:val="22"/>
          <w:szCs w:val="20"/>
        </w:rPr>
        <w:t xml:space="preserve">FC = 1.0 </w:t>
      </w:r>
      <w:r w:rsidR="00A31A32">
        <w:rPr>
          <w:rFonts w:cs="Times New Roman"/>
          <w:sz w:val="22"/>
          <w:szCs w:val="20"/>
        </w:rPr>
        <w:t xml:space="preserve">± 0.54, </w:t>
      </w:r>
      <w:r w:rsidR="00A31A32">
        <w:rPr>
          <w:rFonts w:cs="Times New Roman"/>
          <w:i/>
          <w:iCs/>
          <w:sz w:val="22"/>
          <w:szCs w:val="20"/>
        </w:rPr>
        <w:t xml:space="preserve">p </w:t>
      </w:r>
      <w:r w:rsidR="00A31A32">
        <w:rPr>
          <w:rFonts w:cs="Times New Roman"/>
          <w:sz w:val="22"/>
          <w:szCs w:val="20"/>
        </w:rPr>
        <w:t>= 0.066</w:t>
      </w:r>
      <w:r w:rsidR="0060506F">
        <w:rPr>
          <w:sz w:val="22"/>
          <w:szCs w:val="20"/>
        </w:rPr>
        <w:t>), and an Algicola (ASV49) and an Endozoicomonas (ASV700) which did not differ between healthy and diseased samples in July 2016 (</w:t>
      </w:r>
      <w:r w:rsidR="00A31A32">
        <w:rPr>
          <w:sz w:val="22"/>
          <w:szCs w:val="20"/>
        </w:rPr>
        <w:t xml:space="preserve">FC = -0.05 </w:t>
      </w:r>
      <w:r w:rsidR="00A31A32">
        <w:rPr>
          <w:rFonts w:cs="Times New Roman"/>
          <w:sz w:val="22"/>
          <w:szCs w:val="20"/>
        </w:rPr>
        <w:t xml:space="preserve">± 0.41, </w:t>
      </w:r>
      <w:r w:rsidR="00A31A32">
        <w:rPr>
          <w:rFonts w:cs="Times New Roman"/>
          <w:i/>
          <w:iCs/>
          <w:sz w:val="22"/>
          <w:szCs w:val="20"/>
        </w:rPr>
        <w:t xml:space="preserve">p </w:t>
      </w:r>
      <w:r w:rsidR="00A31A32">
        <w:rPr>
          <w:rFonts w:cs="Times New Roman"/>
          <w:sz w:val="22"/>
          <w:szCs w:val="20"/>
        </w:rPr>
        <w:t xml:space="preserve">= 0.91, </w:t>
      </w:r>
      <w:r w:rsidR="00A31A32">
        <w:rPr>
          <w:sz w:val="22"/>
          <w:szCs w:val="20"/>
        </w:rPr>
        <w:t xml:space="preserve">FC = 0.37 </w:t>
      </w:r>
      <w:r w:rsidR="00A31A32">
        <w:rPr>
          <w:rFonts w:cs="Times New Roman"/>
          <w:sz w:val="22"/>
          <w:szCs w:val="20"/>
        </w:rPr>
        <w:t xml:space="preserve">± 0.27, </w:t>
      </w:r>
      <w:r w:rsidR="00A31A32">
        <w:rPr>
          <w:rFonts w:cs="Times New Roman"/>
          <w:i/>
          <w:iCs/>
          <w:sz w:val="22"/>
          <w:szCs w:val="20"/>
        </w:rPr>
        <w:t xml:space="preserve">p </w:t>
      </w:r>
      <w:r w:rsidR="00A31A32">
        <w:rPr>
          <w:rFonts w:cs="Times New Roman"/>
          <w:sz w:val="22"/>
          <w:szCs w:val="20"/>
        </w:rPr>
        <w:t>= 0.17</w:t>
      </w:r>
      <w:r w:rsidR="0060506F">
        <w:rPr>
          <w:sz w:val="22"/>
          <w:szCs w:val="20"/>
        </w:rPr>
        <w:t>, respectively)</w:t>
      </w:r>
      <w:r w:rsidR="00A31A32">
        <w:rPr>
          <w:sz w:val="22"/>
          <w:szCs w:val="20"/>
        </w:rPr>
        <w:t>. O</w:t>
      </w:r>
      <w:r w:rsidR="002F1671">
        <w:rPr>
          <w:sz w:val="22"/>
          <w:szCs w:val="20"/>
        </w:rPr>
        <w:t>ne</w:t>
      </w:r>
      <w:r w:rsidR="00A31A32">
        <w:rPr>
          <w:sz w:val="22"/>
          <w:szCs w:val="20"/>
        </w:rPr>
        <w:t xml:space="preserve"> ASV</w:t>
      </w:r>
      <w:r w:rsidR="002F1671">
        <w:rPr>
          <w:sz w:val="22"/>
          <w:szCs w:val="20"/>
        </w:rPr>
        <w:t>, a Sphingomonadaceae (ASV40)</w:t>
      </w:r>
      <w:r w:rsidR="00A31A32">
        <w:rPr>
          <w:sz w:val="22"/>
          <w:szCs w:val="20"/>
        </w:rPr>
        <w:t>,</w:t>
      </w:r>
      <w:r w:rsidR="002F1671">
        <w:rPr>
          <w:sz w:val="22"/>
          <w:szCs w:val="20"/>
        </w:rPr>
        <w:t xml:space="preserve"> was found to be consistently more abundant in healthy field samples </w:t>
      </w:r>
      <w:r w:rsidR="00A128A8">
        <w:rPr>
          <w:sz w:val="22"/>
          <w:szCs w:val="20"/>
        </w:rPr>
        <w:t>(FC</w:t>
      </w:r>
      <w:r w:rsidR="00A31A32">
        <w:rPr>
          <w:sz w:val="22"/>
          <w:szCs w:val="20"/>
        </w:rPr>
        <w:t xml:space="preserve"> =</w:t>
      </w:r>
      <w:r w:rsidR="00A128A8">
        <w:rPr>
          <w:sz w:val="22"/>
          <w:szCs w:val="20"/>
        </w:rPr>
        <w:t xml:space="preserve"> -3.31 </w:t>
      </w:r>
      <w:r w:rsidR="00A128A8">
        <w:rPr>
          <w:rFonts w:cs="Times New Roman"/>
          <w:sz w:val="22"/>
          <w:szCs w:val="20"/>
        </w:rPr>
        <w:t xml:space="preserve">± 0.23, </w:t>
      </w:r>
      <w:r w:rsidR="00A128A8">
        <w:rPr>
          <w:rFonts w:cs="Times New Roman"/>
          <w:i/>
          <w:iCs/>
          <w:sz w:val="22"/>
          <w:szCs w:val="20"/>
        </w:rPr>
        <w:t xml:space="preserve">p </w:t>
      </w:r>
      <w:r w:rsidR="00A128A8">
        <w:rPr>
          <w:rFonts w:cs="Times New Roman"/>
          <w:sz w:val="22"/>
          <w:szCs w:val="20"/>
        </w:rPr>
        <w:t>&lt; 0.0001</w:t>
      </w:r>
      <w:r w:rsidR="00A128A8">
        <w:rPr>
          <w:sz w:val="22"/>
          <w:szCs w:val="20"/>
        </w:rPr>
        <w:t>) and in tank sample</w:t>
      </w:r>
      <w:r w:rsidR="00A31A32">
        <w:rPr>
          <w:sz w:val="22"/>
          <w:szCs w:val="20"/>
        </w:rPr>
        <w:t>s</w:t>
      </w:r>
      <w:r w:rsidR="00A128A8">
        <w:rPr>
          <w:sz w:val="22"/>
          <w:szCs w:val="20"/>
        </w:rPr>
        <w:t xml:space="preserve"> was significantly more abundant in susceptible samples prior to disease exposure (FC</w:t>
      </w:r>
      <w:r w:rsidR="00A31A32">
        <w:rPr>
          <w:sz w:val="22"/>
          <w:szCs w:val="20"/>
        </w:rPr>
        <w:t xml:space="preserve"> =</w:t>
      </w:r>
      <w:r w:rsidR="00A128A8">
        <w:rPr>
          <w:sz w:val="22"/>
          <w:szCs w:val="20"/>
        </w:rPr>
        <w:t xml:space="preserve"> 2.74 </w:t>
      </w:r>
      <w:r w:rsidR="00A128A8">
        <w:rPr>
          <w:rFonts w:cs="Times New Roman"/>
          <w:sz w:val="22"/>
          <w:szCs w:val="20"/>
        </w:rPr>
        <w:t>±</w:t>
      </w:r>
      <w:r w:rsidR="00A128A8">
        <w:rPr>
          <w:sz w:val="22"/>
          <w:szCs w:val="20"/>
        </w:rPr>
        <w:t xml:space="preserve"> 0.98, </w:t>
      </w:r>
      <w:r w:rsidR="00A128A8" w:rsidRPr="00A128A8">
        <w:rPr>
          <w:i/>
          <w:iCs/>
          <w:sz w:val="22"/>
          <w:szCs w:val="20"/>
        </w:rPr>
        <w:t>p</w:t>
      </w:r>
      <w:r w:rsidR="00A128A8">
        <w:rPr>
          <w:sz w:val="22"/>
          <w:szCs w:val="20"/>
        </w:rPr>
        <w:t xml:space="preserve"> = 0.011).</w:t>
      </w:r>
      <w:r w:rsidR="0060506F">
        <w:rPr>
          <w:sz w:val="22"/>
          <w:szCs w:val="20"/>
        </w:rPr>
        <w:t xml:space="preserve"> </w:t>
      </w:r>
      <w:r w:rsidR="00A31A32">
        <w:rPr>
          <w:sz w:val="22"/>
          <w:szCs w:val="20"/>
        </w:rPr>
        <w:t xml:space="preserve">The remaining eight ASVs </w:t>
      </w:r>
      <w:r w:rsidR="0060506F">
        <w:rPr>
          <w:sz w:val="22"/>
          <w:szCs w:val="20"/>
        </w:rPr>
        <w:t xml:space="preserve"> </w:t>
      </w:r>
      <w:r w:rsidR="00A31A32">
        <w:rPr>
          <w:sz w:val="22"/>
          <w:szCs w:val="20"/>
        </w:rPr>
        <w:t xml:space="preserve">which consistently distinguish healthy and diseased corals were consistently more abundant in diseased samples (Table 2). </w:t>
      </w:r>
      <w:r w:rsidR="00D65964">
        <w:rPr>
          <w:sz w:val="22"/>
          <w:szCs w:val="20"/>
        </w:rPr>
        <w:t xml:space="preserve">Of these one, an Endozoicomonas (ASV322), was significantly more abundant in susceptible corals prior to treatment exposure (FC = 0.86 </w:t>
      </w:r>
      <w:r w:rsidR="00D65964">
        <w:rPr>
          <w:rFonts w:cs="Times New Roman"/>
          <w:sz w:val="22"/>
          <w:szCs w:val="20"/>
        </w:rPr>
        <w:t>±</w:t>
      </w:r>
      <w:r w:rsidR="00D65964">
        <w:rPr>
          <w:sz w:val="22"/>
          <w:szCs w:val="20"/>
        </w:rPr>
        <w:t xml:space="preserve"> 0.37, </w:t>
      </w:r>
      <w:r w:rsidR="00D65964">
        <w:rPr>
          <w:i/>
          <w:iCs/>
          <w:sz w:val="22"/>
          <w:szCs w:val="20"/>
        </w:rPr>
        <w:t xml:space="preserve">p </w:t>
      </w:r>
      <w:r w:rsidR="00D65964">
        <w:rPr>
          <w:sz w:val="22"/>
          <w:szCs w:val="20"/>
        </w:rPr>
        <w:t xml:space="preserve">= 0.026). </w:t>
      </w:r>
      <w:r w:rsidR="00EC53A3">
        <w:rPr>
          <w:sz w:val="22"/>
          <w:szCs w:val="20"/>
        </w:rPr>
        <w:t xml:space="preserve">An additional ASV (ASV8), an Aliivibrio, was significantly elevated in disease susceptible corals both prior to treatment (FC = </w:t>
      </w:r>
      <w:r w:rsidR="00B13FD6">
        <w:rPr>
          <w:sz w:val="22"/>
          <w:szCs w:val="20"/>
        </w:rPr>
        <w:t>3.26</w:t>
      </w:r>
      <w:r w:rsidR="00EC53A3">
        <w:rPr>
          <w:sz w:val="22"/>
          <w:szCs w:val="20"/>
        </w:rPr>
        <w:t xml:space="preserve"> </w:t>
      </w:r>
      <w:r w:rsidR="00EC53A3">
        <w:rPr>
          <w:rFonts w:cs="Times New Roman"/>
          <w:sz w:val="22"/>
          <w:szCs w:val="20"/>
        </w:rPr>
        <w:t>±</w:t>
      </w:r>
      <w:r w:rsidR="00EC53A3">
        <w:rPr>
          <w:sz w:val="22"/>
          <w:szCs w:val="20"/>
        </w:rPr>
        <w:t xml:space="preserve"> </w:t>
      </w:r>
      <w:r w:rsidR="00B13FD6">
        <w:rPr>
          <w:sz w:val="22"/>
          <w:szCs w:val="20"/>
        </w:rPr>
        <w:t>1.43</w:t>
      </w:r>
      <w:r w:rsidR="00EC53A3">
        <w:rPr>
          <w:sz w:val="22"/>
          <w:szCs w:val="20"/>
        </w:rPr>
        <w:t xml:space="preserve">, </w:t>
      </w:r>
      <w:r w:rsidR="00EC53A3">
        <w:rPr>
          <w:i/>
          <w:iCs/>
          <w:sz w:val="22"/>
          <w:szCs w:val="20"/>
        </w:rPr>
        <w:t xml:space="preserve">p </w:t>
      </w:r>
      <w:r w:rsidR="00EC53A3">
        <w:rPr>
          <w:sz w:val="22"/>
          <w:szCs w:val="20"/>
        </w:rPr>
        <w:t>= 0.02</w:t>
      </w:r>
      <w:r w:rsidR="00B13FD6">
        <w:rPr>
          <w:sz w:val="22"/>
          <w:szCs w:val="20"/>
        </w:rPr>
        <w:t>8</w:t>
      </w:r>
      <w:r w:rsidR="00EC53A3">
        <w:rPr>
          <w:sz w:val="22"/>
          <w:szCs w:val="20"/>
        </w:rPr>
        <w:t xml:space="preserve">) and remained more abundant after treatment with the disease dose (FC = </w:t>
      </w:r>
      <w:r w:rsidR="00B13FD6">
        <w:rPr>
          <w:sz w:val="22"/>
          <w:szCs w:val="20"/>
        </w:rPr>
        <w:t>2.35</w:t>
      </w:r>
      <w:r w:rsidR="00EC53A3">
        <w:rPr>
          <w:sz w:val="22"/>
          <w:szCs w:val="20"/>
        </w:rPr>
        <w:t xml:space="preserve"> </w:t>
      </w:r>
      <w:r w:rsidR="00EC53A3">
        <w:rPr>
          <w:rFonts w:cs="Times New Roman"/>
          <w:sz w:val="22"/>
          <w:szCs w:val="20"/>
        </w:rPr>
        <w:t>±</w:t>
      </w:r>
      <w:r w:rsidR="00EC53A3">
        <w:rPr>
          <w:sz w:val="22"/>
          <w:szCs w:val="20"/>
        </w:rPr>
        <w:t xml:space="preserve"> </w:t>
      </w:r>
      <w:r w:rsidR="00B13FD6">
        <w:rPr>
          <w:sz w:val="22"/>
          <w:szCs w:val="20"/>
        </w:rPr>
        <w:t>1.07</w:t>
      </w:r>
      <w:r w:rsidR="00EC53A3">
        <w:rPr>
          <w:sz w:val="22"/>
          <w:szCs w:val="20"/>
        </w:rPr>
        <w:t xml:space="preserve">, </w:t>
      </w:r>
      <w:r w:rsidR="00EC53A3">
        <w:rPr>
          <w:i/>
          <w:iCs/>
          <w:sz w:val="22"/>
          <w:szCs w:val="20"/>
        </w:rPr>
        <w:t xml:space="preserve">p </w:t>
      </w:r>
      <w:r w:rsidR="00EC53A3">
        <w:rPr>
          <w:sz w:val="22"/>
          <w:szCs w:val="20"/>
        </w:rPr>
        <w:t>= 0.</w:t>
      </w:r>
      <w:r w:rsidR="00B13FD6">
        <w:rPr>
          <w:sz w:val="22"/>
          <w:szCs w:val="20"/>
        </w:rPr>
        <w:t>040</w:t>
      </w:r>
      <w:r w:rsidR="00EC53A3">
        <w:rPr>
          <w:sz w:val="22"/>
          <w:szCs w:val="20"/>
        </w:rPr>
        <w:t>).</w:t>
      </w:r>
      <w:r w:rsidR="00B13FD6">
        <w:rPr>
          <w:sz w:val="22"/>
          <w:szCs w:val="20"/>
        </w:rPr>
        <w:t xml:space="preserve"> Finally, three ASVs all only differed in the post disease exposure samples with significantly more in susceptible corals. These ASVs include a Francisellacea in the </w:t>
      </w:r>
      <w:r w:rsidR="00B13FD6" w:rsidRPr="00B13FD6">
        <w:rPr>
          <w:sz w:val="22"/>
          <w:szCs w:val="20"/>
        </w:rPr>
        <w:t>[Caedibacter] taeniospiralis group</w:t>
      </w:r>
      <w:r w:rsidR="00B13FD6">
        <w:rPr>
          <w:sz w:val="22"/>
          <w:szCs w:val="20"/>
        </w:rPr>
        <w:t xml:space="preserve"> (ASV25, FC = 3.27 </w:t>
      </w:r>
      <w:r w:rsidR="00B13FD6">
        <w:rPr>
          <w:rFonts w:cs="Times New Roman"/>
          <w:sz w:val="22"/>
          <w:szCs w:val="20"/>
        </w:rPr>
        <w:t>±</w:t>
      </w:r>
      <w:r w:rsidR="00B13FD6">
        <w:rPr>
          <w:sz w:val="22"/>
          <w:szCs w:val="20"/>
        </w:rPr>
        <w:t xml:space="preserve"> 0.81, </w:t>
      </w:r>
      <w:r w:rsidR="00B13FD6">
        <w:rPr>
          <w:i/>
          <w:iCs/>
          <w:sz w:val="22"/>
          <w:szCs w:val="20"/>
        </w:rPr>
        <w:t xml:space="preserve">p </w:t>
      </w:r>
      <w:r w:rsidR="00B13FD6">
        <w:rPr>
          <w:sz w:val="22"/>
          <w:szCs w:val="20"/>
        </w:rPr>
        <w:t xml:space="preserve">= 0.0006), a Thalassolituus (ASV26, </w:t>
      </w:r>
      <w:r w:rsidR="00F61239">
        <w:rPr>
          <w:sz w:val="22"/>
          <w:szCs w:val="20"/>
        </w:rPr>
        <w:t xml:space="preserve">FC = 1.49 </w:t>
      </w:r>
      <w:r w:rsidR="00F61239">
        <w:rPr>
          <w:rFonts w:cs="Times New Roman"/>
          <w:sz w:val="22"/>
          <w:szCs w:val="20"/>
        </w:rPr>
        <w:t>±</w:t>
      </w:r>
      <w:r w:rsidR="00F61239">
        <w:rPr>
          <w:sz w:val="22"/>
          <w:szCs w:val="20"/>
        </w:rPr>
        <w:t xml:space="preserve"> 0.64, </w:t>
      </w:r>
      <w:r w:rsidR="00F61239">
        <w:rPr>
          <w:i/>
          <w:iCs/>
          <w:sz w:val="22"/>
          <w:szCs w:val="20"/>
        </w:rPr>
        <w:t xml:space="preserve">p </w:t>
      </w:r>
      <w:r w:rsidR="00F61239">
        <w:rPr>
          <w:sz w:val="22"/>
          <w:szCs w:val="20"/>
        </w:rPr>
        <w:t>= 0.032</w:t>
      </w:r>
      <w:r w:rsidR="00B13FD6">
        <w:rPr>
          <w:sz w:val="22"/>
          <w:szCs w:val="20"/>
        </w:rPr>
        <w:t xml:space="preserve">), and an Endozoicomonas (ASV361, </w:t>
      </w:r>
      <w:r w:rsidR="00F61239">
        <w:rPr>
          <w:sz w:val="22"/>
          <w:szCs w:val="20"/>
        </w:rPr>
        <w:t xml:space="preserve">FC = 0.40 </w:t>
      </w:r>
      <w:r w:rsidR="00F61239">
        <w:rPr>
          <w:rFonts w:cs="Times New Roman"/>
          <w:sz w:val="22"/>
          <w:szCs w:val="20"/>
        </w:rPr>
        <w:t>±</w:t>
      </w:r>
      <w:r w:rsidR="00F61239">
        <w:rPr>
          <w:sz w:val="22"/>
          <w:szCs w:val="20"/>
        </w:rPr>
        <w:t xml:space="preserve"> 0.13, </w:t>
      </w:r>
      <w:r w:rsidR="00F61239">
        <w:rPr>
          <w:i/>
          <w:iCs/>
          <w:sz w:val="22"/>
          <w:szCs w:val="20"/>
        </w:rPr>
        <w:t xml:space="preserve">p </w:t>
      </w:r>
      <w:r w:rsidR="00F61239">
        <w:rPr>
          <w:sz w:val="22"/>
          <w:szCs w:val="20"/>
        </w:rPr>
        <w:t>= 0.005</w:t>
      </w:r>
      <w:r w:rsidR="00B13FD6">
        <w:rPr>
          <w:sz w:val="22"/>
          <w:szCs w:val="20"/>
        </w:rPr>
        <w:t>)</w:t>
      </w:r>
      <w:r w:rsidR="00F61239">
        <w:rPr>
          <w:sz w:val="22"/>
          <w:szCs w:val="20"/>
        </w:rPr>
        <w:t xml:space="preserve">. </w:t>
      </w:r>
      <w:commentRangeEnd w:id="4"/>
      <w:r w:rsidR="0000605E">
        <w:rPr>
          <w:rStyle w:val="CommentReference"/>
        </w:rPr>
        <w:commentReference w:id="4"/>
      </w:r>
    </w:p>
    <w:p w14:paraId="18BEE1FF" w14:textId="3A330468" w:rsidR="00BE1192" w:rsidRDefault="00BE1192" w:rsidP="00BE1192">
      <w:pPr>
        <w:pStyle w:val="Heading1"/>
        <w:rPr>
          <w:sz w:val="22"/>
          <w:szCs w:val="28"/>
        </w:rPr>
      </w:pPr>
      <w:r w:rsidRPr="00D02C43">
        <w:rPr>
          <w:sz w:val="22"/>
          <w:szCs w:val="28"/>
        </w:rPr>
        <w:t>Discussion</w:t>
      </w:r>
    </w:p>
    <w:p w14:paraId="3EB5DA60" w14:textId="77777777" w:rsidR="004673AC" w:rsidRDefault="004673AC" w:rsidP="004673AC">
      <w:pPr>
        <w:pStyle w:val="ListParagraph"/>
        <w:numPr>
          <w:ilvl w:val="0"/>
          <w:numId w:val="11"/>
        </w:numPr>
      </w:pPr>
      <w:r>
        <w:t>Panama 9 dominant ASVs distinguish healthy and diseased coral microbiomes representing X microbial families</w:t>
      </w:r>
    </w:p>
    <w:p w14:paraId="22E8D22B" w14:textId="77777777" w:rsidR="004673AC" w:rsidRDefault="004673AC" w:rsidP="004673AC">
      <w:pPr>
        <w:pStyle w:val="ListParagraph"/>
        <w:numPr>
          <w:ilvl w:val="0"/>
          <w:numId w:val="11"/>
        </w:numPr>
      </w:pPr>
      <w:r>
        <w:t>Classification of each of the 9 ASVs into functional categories</w:t>
      </w:r>
    </w:p>
    <w:p w14:paraId="35AB1488" w14:textId="0BB06476" w:rsidR="004673AC" w:rsidRDefault="004673AC" w:rsidP="004673AC">
      <w:pPr>
        <w:pStyle w:val="ListParagraph"/>
        <w:numPr>
          <w:ilvl w:val="0"/>
          <w:numId w:val="11"/>
        </w:numPr>
      </w:pPr>
      <w:r>
        <w:t>Dive into likely pathogens and what we know about them</w:t>
      </w:r>
    </w:p>
    <w:p w14:paraId="6CD99CD8" w14:textId="55C7B364" w:rsidR="004673AC" w:rsidRDefault="004673AC" w:rsidP="004673AC">
      <w:pPr>
        <w:pStyle w:val="ListParagraph"/>
        <w:numPr>
          <w:ilvl w:val="0"/>
          <w:numId w:val="11"/>
        </w:numPr>
      </w:pPr>
      <w:r>
        <w:t xml:space="preserve">Caveats – may not be pathogen because could be extremely opportunist </w:t>
      </w:r>
    </w:p>
    <w:p w14:paraId="2AD72564" w14:textId="6B954448" w:rsidR="00EE601D" w:rsidRDefault="00EE601D" w:rsidP="004673AC">
      <w:pPr>
        <w:pStyle w:val="ListParagraph"/>
        <w:numPr>
          <w:ilvl w:val="0"/>
          <w:numId w:val="11"/>
        </w:numPr>
      </w:pPr>
      <w:r>
        <w:t>Unlike previous Florida based studies we found nearly 0 Ricketsias but a vast amount of Endozoicomonas</w:t>
      </w:r>
    </w:p>
    <w:p w14:paraId="5C418BA0" w14:textId="6626660C" w:rsidR="004673AC" w:rsidRDefault="005331DA" w:rsidP="004673AC">
      <w:pPr>
        <w:pStyle w:val="ListParagraph"/>
        <w:numPr>
          <w:ilvl w:val="0"/>
          <w:numId w:val="11"/>
        </w:numPr>
      </w:pPr>
      <w:r>
        <w:t>However – bring in other studies and mention overlaps of high order taxonomic levels as candidates</w:t>
      </w:r>
    </w:p>
    <w:p w14:paraId="445C5043" w14:textId="6E306D25" w:rsidR="005331DA" w:rsidRPr="005331DA" w:rsidRDefault="005331DA" w:rsidP="004673AC">
      <w:pPr>
        <w:pStyle w:val="ListParagraph"/>
        <w:numPr>
          <w:ilvl w:val="0"/>
          <w:numId w:val="11"/>
        </w:numPr>
      </w:pPr>
      <w:r>
        <w:lastRenderedPageBreak/>
        <w:t xml:space="preserve">Suggest culture and introduction of one of two to finally close </w:t>
      </w:r>
      <w:r w:rsidRPr="00D02C43">
        <w:rPr>
          <w:sz w:val="22"/>
          <w:szCs w:val="20"/>
        </w:rPr>
        <w:t>Henle–Koch postulates</w:t>
      </w:r>
      <w:r>
        <w:rPr>
          <w:sz w:val="22"/>
          <w:szCs w:val="20"/>
        </w:rPr>
        <w:t xml:space="preserve"> for WBD</w:t>
      </w:r>
    </w:p>
    <w:p w14:paraId="11DD8DEB" w14:textId="6E54EFD9" w:rsidR="005331DA" w:rsidRDefault="005331DA" w:rsidP="005331DA">
      <w:pPr>
        <w:pStyle w:val="ListParagraph"/>
        <w:numPr>
          <w:ilvl w:val="1"/>
          <w:numId w:val="11"/>
        </w:numPr>
      </w:pPr>
      <w:r>
        <w:t>Alternatives to Koch’s postulates</w:t>
      </w:r>
    </w:p>
    <w:p w14:paraId="6148E154" w14:textId="77777777" w:rsidR="005331DA" w:rsidRPr="004673AC" w:rsidRDefault="005331DA" w:rsidP="005331DA">
      <w:pPr>
        <w:pStyle w:val="ListParagraph"/>
        <w:numPr>
          <w:ilvl w:val="0"/>
          <w:numId w:val="11"/>
        </w:numPr>
      </w:pPr>
    </w:p>
    <w:p w14:paraId="74E87136" w14:textId="4C6059EF" w:rsidR="000A622F" w:rsidRPr="004673AC" w:rsidRDefault="000A622F" w:rsidP="004673AC">
      <w:pPr>
        <w:pStyle w:val="ListParagraph"/>
        <w:numPr>
          <w:ilvl w:val="0"/>
          <w:numId w:val="10"/>
        </w:numPr>
        <w:rPr>
          <w:rFonts w:eastAsiaTheme="majorEastAsia" w:cstheme="majorBidi"/>
          <w:b/>
          <w:color w:val="000000" w:themeColor="text1"/>
          <w:sz w:val="22"/>
          <w:szCs w:val="28"/>
        </w:rPr>
      </w:pPr>
      <w:r w:rsidRPr="004673AC">
        <w:rPr>
          <w:sz w:val="22"/>
          <w:szCs w:val="20"/>
        </w:rPr>
        <w:br w:type="page"/>
      </w:r>
    </w:p>
    <w:p w14:paraId="060CD34A" w14:textId="355765C8" w:rsidR="00873831" w:rsidRPr="00D02C43" w:rsidRDefault="00873831" w:rsidP="00E72917">
      <w:pPr>
        <w:pStyle w:val="Heading1"/>
        <w:rPr>
          <w:sz w:val="22"/>
          <w:szCs w:val="28"/>
        </w:rPr>
      </w:pPr>
      <w:r w:rsidRPr="00D02C43">
        <w:rPr>
          <w:sz w:val="22"/>
          <w:szCs w:val="28"/>
        </w:rPr>
        <w:lastRenderedPageBreak/>
        <w:t>Literature Cited</w:t>
      </w:r>
    </w:p>
    <w:p w14:paraId="5194F9D6" w14:textId="77777777" w:rsidR="007C6608" w:rsidRPr="00D02C43" w:rsidRDefault="00873831" w:rsidP="007C6608">
      <w:pPr>
        <w:pStyle w:val="Bibliography"/>
        <w:rPr>
          <w:rFonts w:ascii="Calibri" w:hAnsi="Calibri" w:cs="Calibri"/>
          <w:sz w:val="22"/>
          <w:szCs w:val="20"/>
        </w:rPr>
      </w:pPr>
      <w:r w:rsidRPr="00D02C43">
        <w:rPr>
          <w:sz w:val="22"/>
          <w:szCs w:val="20"/>
        </w:rPr>
        <w:fldChar w:fldCharType="begin"/>
      </w:r>
      <w:r w:rsidR="0025218F" w:rsidRPr="00D02C43">
        <w:rPr>
          <w:sz w:val="22"/>
          <w:szCs w:val="20"/>
        </w:rPr>
        <w:instrText xml:space="preserve"> ADDIN ZOTERO_BIBL {"uncited":[],"omitted":[],"custom":[]} CSL_BIBLIOGRAPHY </w:instrText>
      </w:r>
      <w:r w:rsidRPr="00D02C43">
        <w:rPr>
          <w:sz w:val="22"/>
          <w:szCs w:val="20"/>
        </w:rPr>
        <w:fldChar w:fldCharType="separate"/>
      </w:r>
      <w:r w:rsidR="007C6608" w:rsidRPr="00D02C43">
        <w:rPr>
          <w:rFonts w:ascii="Calibri" w:hAnsi="Calibri" w:cs="Calibri"/>
          <w:sz w:val="22"/>
          <w:szCs w:val="20"/>
        </w:rPr>
        <w:t>Bates, D., M. Mächler, B. Bolker, and S. Walker. 2015. Fitting Linear Mixed-Effects Models Using lme4. Journal of Statistical Software 067.</w:t>
      </w:r>
    </w:p>
    <w:p w14:paraId="5B416D3E"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Bolón-Canedo, V., and A. Alonso-Betanzos. 2019. Ensembles for feature selection: A review and future trends. Information Fusion 52:1–12.</w:t>
      </w:r>
    </w:p>
    <w:p w14:paraId="7808CFF1"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Brier, G. W. 1950. Verification of forecasts expressed in terms of probability. Monthly weather review 78:1–3.</w:t>
      </w:r>
    </w:p>
    <w:p w14:paraId="051E4A63"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Chase, J. M., N. J. B. Kraft, K. G. Smith, M. Vellend, and B. D. Inouye. 2011. Using null models to disentangle variation in community dissimilarity from variation in α-diversity. Ecosphere 2:art24.</w:t>
      </w:r>
    </w:p>
    <w:p w14:paraId="761878ED"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Collobert, R., K. Kavukcuoglu, and C. Farabet. 2011. Torch7: A Matlab-like Environment for Machine Learning. Page BigLearn, NIPS Workshop.</w:t>
      </w:r>
    </w:p>
    <w:p w14:paraId="23E40872"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Derringer, G., and R. Suich. 1980. Simultaneous Optimization of Several Response Variables. Journal of Quality Technology 12:214–219.</w:t>
      </w:r>
    </w:p>
    <w:p w14:paraId="7E24CA10"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Falbel, D., and J. Luraschi. 2023. torch: Tensors and Neural Networks with “GPU” Acceleration.</w:t>
      </w:r>
    </w:p>
    <w:p w14:paraId="6468C10B"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Friedman, J., T. Hastie, and R. Tibshirani. 2010. Regularization Paths for Generalized Linear Models via Coordinate Descent. Journal of Statistical Software 33:1–22.</w:t>
      </w:r>
    </w:p>
    <w:p w14:paraId="21C2BF4E"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 xml:space="preserve">Gignoux-Wolfsohn, S. A., C. J. Marks, and S. V. Vollmer. 2012. White Band Disease transmission in the threatened coral, </w:t>
      </w:r>
      <w:r w:rsidRPr="00D02C43">
        <w:rPr>
          <w:rFonts w:ascii="Calibri" w:hAnsi="Calibri" w:cs="Calibri"/>
          <w:i/>
          <w:iCs/>
          <w:sz w:val="22"/>
          <w:szCs w:val="20"/>
        </w:rPr>
        <w:t>Acropora cervicornis</w:t>
      </w:r>
      <w:r w:rsidRPr="00D02C43">
        <w:rPr>
          <w:rFonts w:ascii="Calibri" w:hAnsi="Calibri" w:cs="Calibri"/>
          <w:sz w:val="22"/>
          <w:szCs w:val="20"/>
        </w:rPr>
        <w:t>. Scientific Reports 2:804.</w:t>
      </w:r>
    </w:p>
    <w:p w14:paraId="4731D3ED"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Gil-Agudelo, D. L., G. W. Smith, and E. Weil. 2006. The white band disease type II pathogen in Puerto Rico. Revista de Biología Tropical 54:59–67.</w:t>
      </w:r>
    </w:p>
    <w:p w14:paraId="5D9BF49A"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Greenwell, B. 2023. fastshap: Fast Approximate Shapley Values.</w:t>
      </w:r>
    </w:p>
    <w:p w14:paraId="4303990D"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Holm, S. 1979. A Simple Sequentially Rejective Multiple Test Procedure. Scandinavian Journal of Statistics 6:65–70.</w:t>
      </w:r>
    </w:p>
    <w:p w14:paraId="7C137125"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Hothorn, T., F. Bretz, and P. Westfall. 2008. Simultaneous Inference in General Parametric Models. Biometrical Journal 50:346–363.</w:t>
      </w:r>
    </w:p>
    <w:p w14:paraId="10E88816"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lastRenderedPageBreak/>
        <w:t>Karatzoglou, A., A. Smola, and K. Hornik. 2022. kernlab: Kernel-Based Machine Learning Lab.</w:t>
      </w:r>
    </w:p>
    <w:p w14:paraId="43B98058"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Karatzoglou, A., A. Smola, K. Hornik, and A. Zeileis. 2004. kernlab – An S4 Package for Kernel Methods in R. Journal of Statistical Software 11:1–20.</w:t>
      </w:r>
    </w:p>
    <w:p w14:paraId="3E7D8D54"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Kruppa, J., Y. Liu, H.-C. Diener, T. Holste, C. Weimar, I. R. König, and A. Ziegler. 2014. Probability estimation with machine learning methods for dichotomous and multicategory outcome: Applications. Biometrical Journal 56:564–583.</w:t>
      </w:r>
    </w:p>
    <w:p w14:paraId="71A3B5CA"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Kuhn, M., and D. Falbel. 2022. brulee: High-Level Modeling Functions with “torch.”</w:t>
      </w:r>
    </w:p>
    <w:p w14:paraId="30820443"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Kuhn, M., and J. Silge. 2022. Tidy Modeling with R: A Framework for Modeling in the Tidyverse. 1st edition. O’Reilly Media, Sebastopol, CA.</w:t>
      </w:r>
    </w:p>
    <w:p w14:paraId="06EA5E2D"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Legendre, P., and L. F. J. Legendre. 2012. Numerical Ecology, Volume 24, Third Edition. 3 edition. Elsevier, Amsterdam.</w:t>
      </w:r>
    </w:p>
    <w:p w14:paraId="682BA409"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Lenth, R. 2019. emmeans: Estimated Marginal Means, aka Least-Squares Means.</w:t>
      </w:r>
    </w:p>
    <w:p w14:paraId="6D40D63E"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Molnar, C. 2022. Interpretable Machine Learning: A Guide For Making Black Box Models Explainable. Independently published, Munich, Germany.</w:t>
      </w:r>
    </w:p>
    <w:p w14:paraId="6B67F4B8"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Oksanen, J., F. G. Blanchet, R. Kindt, P. Legendre, P. R. Minchin, R. B. O’Hara, G. L. Simpson, P. Solymos, M. H. Stevens, and H. Wagner. 2013. vegan: Community Ecology Package. R package version 2.0-8.</w:t>
      </w:r>
    </w:p>
    <w:p w14:paraId="0E241BC7"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Raup, D. M., and R. E. Crick. 1979. Measurement of Faunal Similarity in Paleontology. Journal of Paleontology 53:1213–1227.</w:t>
      </w:r>
    </w:p>
    <w:p w14:paraId="1A4A482F" w14:textId="77777777" w:rsidR="007C6608" w:rsidRPr="00D02C43" w:rsidRDefault="007C6608" w:rsidP="007C6608">
      <w:pPr>
        <w:pStyle w:val="Bibliography"/>
        <w:rPr>
          <w:rFonts w:ascii="Calibri" w:hAnsi="Calibri" w:cs="Calibri"/>
          <w:sz w:val="22"/>
          <w:szCs w:val="20"/>
          <w:lang w:val="es-PA"/>
        </w:rPr>
      </w:pPr>
      <w:r w:rsidRPr="00D02C43">
        <w:rPr>
          <w:rFonts w:ascii="Calibri" w:hAnsi="Calibri" w:cs="Calibri"/>
          <w:sz w:val="22"/>
          <w:szCs w:val="20"/>
        </w:rPr>
        <w:t xml:space="preserve">Ritchie, K. B., and G. W. Smith. 1998. Type II white-band disease. </w:t>
      </w:r>
      <w:r w:rsidRPr="00D02C43">
        <w:rPr>
          <w:rFonts w:ascii="Calibri" w:hAnsi="Calibri" w:cs="Calibri"/>
          <w:sz w:val="22"/>
          <w:szCs w:val="20"/>
          <w:lang w:val="es-PA"/>
        </w:rPr>
        <w:t>Revista De Biologia Tropical 46:199–203.</w:t>
      </w:r>
    </w:p>
    <w:p w14:paraId="2EBFF0F7"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lang w:val="es-PA"/>
        </w:rPr>
        <w:t xml:space="preserve">Robinson, M. D., D. J. McCarthy, and G. K. Smyth. </w:t>
      </w:r>
      <w:r w:rsidRPr="00D02C43">
        <w:rPr>
          <w:rFonts w:ascii="Calibri" w:hAnsi="Calibri" w:cs="Calibri"/>
          <w:sz w:val="22"/>
          <w:szCs w:val="20"/>
        </w:rPr>
        <w:t>2010. edgeR: a Bioconductor package for differential expression analysis of digital gene expression data. Bioinformatics 26:139–140.</w:t>
      </w:r>
    </w:p>
    <w:p w14:paraId="148C0EEC"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lastRenderedPageBreak/>
        <w:t>Robinson, M. D., and A. Oshlack. 2010. A scaling normalization method for differential expression analysis of RNA-seq data. Genome Biology 11:R25.</w:t>
      </w:r>
    </w:p>
    <w:p w14:paraId="5C252962"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Rohart, F., B. Gautier, A. Singh, and K.-A. L. Cao. 2017. mixOmics: An R package for ‘omics feature selection and multiple data integration. PLOS Computational Biology 13:e1005752.</w:t>
      </w:r>
    </w:p>
    <w:p w14:paraId="18B1708B"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Schliep, K., and K. Hechenbichler. 2016. kknn: Weighted k-Nearest Neighbors.</w:t>
      </w:r>
    </w:p>
    <w:p w14:paraId="6A373319"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Shapley, L. S. 1953. A value for n-person games. Page 409 Contributions to the Theory of Games (AM-28). Princeton University Press.</w:t>
      </w:r>
    </w:p>
    <w:p w14:paraId="62B04589"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Štrumbelj, E., and I. Kononenko. 2014. Explaining prediction models and individual predictions with feature contributions. Knowledge and Information Systems 41:647–665.</w:t>
      </w:r>
    </w:p>
    <w:p w14:paraId="1F68717D"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Vega Thurber, R., L. D. Mydlarz, M. Brandt, D. Harvell, E. Weil, L. Raymundo, B. L. Willis, S. Langevin, A. M. Tracy, R. Littman, K. M. Kemp, P. Dawkins, K. C. Prager, M. Garren, and J. Lamb. 2020. Deciphering Coral Disease Dynamics: Integrating Host, Microbiome, and the Changing Environment. Frontiers in Ecology and Evolution 8.</w:t>
      </w:r>
    </w:p>
    <w:p w14:paraId="04D67E4A"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Westfall, P. H. 1997. Multiple Testing of General Contrasts Using Logical Constraints and Correlations. Journal of the American Statistical Association 92:299–306.</w:t>
      </w:r>
    </w:p>
    <w:p w14:paraId="33B78100"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Wright, M. N., and A. Ziegler. 2017. ranger: A Fast Implementation of Random Forests for High Dimensional Data in C++ and R. Journal of Statistical Software 77:1–17.</w:t>
      </w:r>
    </w:p>
    <w:p w14:paraId="21DCA59C"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Yeo, I.-K., and R. A. Johnson. 2000. A new family of power transformations to improve normality or symmetry. Biometrika 87:954–959.</w:t>
      </w:r>
    </w:p>
    <w:p w14:paraId="750132F7" w14:textId="3EF9B72A" w:rsidR="00E72917" w:rsidRPr="00D02C43" w:rsidRDefault="00873831">
      <w:pPr>
        <w:rPr>
          <w:b/>
          <w:bCs/>
          <w:sz w:val="22"/>
          <w:szCs w:val="20"/>
        </w:rPr>
      </w:pPr>
      <w:r w:rsidRPr="00D02C43">
        <w:rPr>
          <w:b/>
          <w:bCs/>
          <w:sz w:val="22"/>
          <w:szCs w:val="20"/>
        </w:rPr>
        <w:fldChar w:fldCharType="end"/>
      </w:r>
    </w:p>
    <w:p w14:paraId="17CC8987" w14:textId="77777777" w:rsidR="00E72917" w:rsidRPr="00D02C43" w:rsidRDefault="00E72917">
      <w:pPr>
        <w:rPr>
          <w:b/>
          <w:bCs/>
          <w:sz w:val="22"/>
          <w:szCs w:val="20"/>
        </w:rPr>
      </w:pPr>
      <w:r w:rsidRPr="00D02C43">
        <w:rPr>
          <w:b/>
          <w:bCs/>
          <w:sz w:val="22"/>
          <w:szCs w:val="20"/>
        </w:rPr>
        <w:br w:type="page"/>
      </w:r>
    </w:p>
    <w:p w14:paraId="3A52367C" w14:textId="03A50BC3" w:rsidR="0059270A" w:rsidRPr="00CE1917" w:rsidRDefault="00E72917" w:rsidP="00CE1917">
      <w:pPr>
        <w:pStyle w:val="Heading1"/>
        <w:rPr>
          <w:sz w:val="22"/>
          <w:szCs w:val="28"/>
        </w:rPr>
      </w:pPr>
      <w:r w:rsidRPr="00D02C43">
        <w:rPr>
          <w:sz w:val="22"/>
          <w:szCs w:val="28"/>
        </w:rPr>
        <w:lastRenderedPageBreak/>
        <w:t>Tables</w:t>
      </w:r>
    </w:p>
    <w:p w14:paraId="0BA9228D" w14:textId="0ABABB69" w:rsidR="0059270A" w:rsidRPr="00695499" w:rsidRDefault="0059270A" w:rsidP="0059270A">
      <w:pPr>
        <w:pStyle w:val="Caption"/>
        <w:keepNext/>
        <w:rPr>
          <w:rFonts w:cs="Times New Roman"/>
          <w:sz w:val="22"/>
          <w:szCs w:val="22"/>
        </w:rPr>
      </w:pPr>
      <w:r w:rsidRPr="00695499">
        <w:rPr>
          <w:rFonts w:cs="Times New Roman"/>
          <w:sz w:val="22"/>
          <w:szCs w:val="22"/>
        </w:rPr>
        <w:t xml:space="preserve">Table </w:t>
      </w:r>
      <w:r w:rsidRPr="00695499">
        <w:rPr>
          <w:rFonts w:cs="Times New Roman"/>
          <w:sz w:val="22"/>
          <w:szCs w:val="22"/>
        </w:rPr>
        <w:fldChar w:fldCharType="begin"/>
      </w:r>
      <w:r w:rsidRPr="00695499">
        <w:rPr>
          <w:rFonts w:cs="Times New Roman"/>
          <w:sz w:val="22"/>
          <w:szCs w:val="22"/>
        </w:rPr>
        <w:instrText xml:space="preserve"> SEQ Table \* ARABIC </w:instrText>
      </w:r>
      <w:r w:rsidRPr="00695499">
        <w:rPr>
          <w:rFonts w:cs="Times New Roman"/>
          <w:sz w:val="22"/>
          <w:szCs w:val="22"/>
        </w:rPr>
        <w:fldChar w:fldCharType="separate"/>
      </w:r>
      <w:r w:rsidR="002F1671" w:rsidRPr="00695499">
        <w:rPr>
          <w:rFonts w:cs="Times New Roman"/>
          <w:noProof/>
          <w:sz w:val="22"/>
          <w:szCs w:val="22"/>
        </w:rPr>
        <w:t>1</w:t>
      </w:r>
      <w:r w:rsidRPr="00695499">
        <w:rPr>
          <w:rFonts w:cs="Times New Roman"/>
          <w:noProof/>
          <w:sz w:val="22"/>
          <w:szCs w:val="22"/>
        </w:rPr>
        <w:fldChar w:fldCharType="end"/>
      </w:r>
      <w:r w:rsidR="00CE1917" w:rsidRPr="00695499">
        <w:rPr>
          <w:rFonts w:cs="Times New Roman"/>
          <w:noProof/>
          <w:sz w:val="22"/>
          <w:szCs w:val="22"/>
        </w:rPr>
        <w:t xml:space="preserve">: </w:t>
      </w:r>
      <w:r w:rsidR="00695499" w:rsidRPr="00695499">
        <w:rPr>
          <w:rFonts w:cs="Times New Roman"/>
          <w:noProof/>
          <w:sz w:val="22"/>
          <w:szCs w:val="22"/>
        </w:rPr>
        <w:t>Model quality metrics showing the overall metric used to identify equivilent models and the components of the overall metric, accuracy, area under the receiver operator curve (ROC/AUC), and Brier score. Finally the probability that each model is practically equivilent (within 1%) of the best overall model. Numbers indicate the mean (</w:t>
      </w:r>
      <w:r w:rsidR="00695499" w:rsidRPr="00695499">
        <w:rPr>
          <w:rFonts w:eastAsia="Times New Roman" w:cs="Times New Roman"/>
          <w:color w:val="000000"/>
          <w:kern w:val="0"/>
          <w:sz w:val="22"/>
          <w:szCs w:val="22"/>
          <w14:ligatures w14:val="none"/>
        </w:rPr>
        <w:t>±</w:t>
      </w:r>
      <w:r w:rsidR="00695499" w:rsidRPr="00695499">
        <w:rPr>
          <w:rFonts w:eastAsia="Times New Roman" w:cs="Times New Roman"/>
          <w:color w:val="000000"/>
          <w:kern w:val="0"/>
          <w:sz w:val="22"/>
          <w:szCs w:val="22"/>
          <w14:ligatures w14:val="none"/>
        </w:rPr>
        <w:t xml:space="preserve"> SE) </w:t>
      </w:r>
      <w:r w:rsidR="00695499">
        <w:rPr>
          <w:rFonts w:eastAsia="Times New Roman" w:cs="Times New Roman"/>
          <w:color w:val="000000"/>
          <w:kern w:val="0"/>
          <w:sz w:val="22"/>
          <w:szCs w:val="22"/>
          <w14:ligatures w14:val="none"/>
        </w:rPr>
        <w:t>evaluated on the training data. Numbers in parentheses indicate the value when assessed on the test set.</w:t>
      </w:r>
    </w:p>
    <w:tbl>
      <w:tblPr>
        <w:tblW w:w="9455" w:type="dxa"/>
        <w:tblLook w:val="04A0" w:firstRow="1" w:lastRow="0" w:firstColumn="1" w:lastColumn="0" w:noHBand="0" w:noVBand="1"/>
      </w:tblPr>
      <w:tblGrid>
        <w:gridCol w:w="1209"/>
        <w:gridCol w:w="1750"/>
        <w:gridCol w:w="1750"/>
        <w:gridCol w:w="1729"/>
        <w:gridCol w:w="1729"/>
        <w:gridCol w:w="1288"/>
      </w:tblGrid>
      <w:tr w:rsidR="006409CC" w:rsidRPr="00695499" w14:paraId="34B83D87" w14:textId="77777777" w:rsidTr="00CE1917">
        <w:trPr>
          <w:trHeight w:val="295"/>
        </w:trPr>
        <w:tc>
          <w:tcPr>
            <w:tcW w:w="1209" w:type="dxa"/>
            <w:tcBorders>
              <w:top w:val="single" w:sz="4" w:space="0" w:color="auto"/>
              <w:left w:val="nil"/>
              <w:bottom w:val="single" w:sz="4" w:space="0" w:color="auto"/>
              <w:right w:val="nil"/>
            </w:tcBorders>
            <w:shd w:val="clear" w:color="auto" w:fill="auto"/>
            <w:noWrap/>
            <w:vAlign w:val="bottom"/>
            <w:hideMark/>
          </w:tcPr>
          <w:p w14:paraId="05694DC0"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Algorithm</w:t>
            </w:r>
          </w:p>
        </w:tc>
        <w:tc>
          <w:tcPr>
            <w:tcW w:w="1750" w:type="dxa"/>
            <w:tcBorders>
              <w:top w:val="single" w:sz="4" w:space="0" w:color="auto"/>
              <w:left w:val="nil"/>
              <w:bottom w:val="single" w:sz="4" w:space="0" w:color="auto"/>
              <w:right w:val="nil"/>
            </w:tcBorders>
            <w:shd w:val="clear" w:color="auto" w:fill="auto"/>
            <w:noWrap/>
            <w:vAlign w:val="bottom"/>
            <w:hideMark/>
          </w:tcPr>
          <w:p w14:paraId="33D883FC" w14:textId="77777777"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Overall</w:t>
            </w:r>
          </w:p>
        </w:tc>
        <w:tc>
          <w:tcPr>
            <w:tcW w:w="1750" w:type="dxa"/>
            <w:tcBorders>
              <w:top w:val="single" w:sz="4" w:space="0" w:color="auto"/>
              <w:left w:val="nil"/>
              <w:bottom w:val="single" w:sz="4" w:space="0" w:color="auto"/>
              <w:right w:val="nil"/>
            </w:tcBorders>
            <w:shd w:val="clear" w:color="auto" w:fill="auto"/>
            <w:noWrap/>
            <w:vAlign w:val="bottom"/>
            <w:hideMark/>
          </w:tcPr>
          <w:p w14:paraId="144C2E18" w14:textId="77777777"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Accuracy</w:t>
            </w:r>
          </w:p>
        </w:tc>
        <w:tc>
          <w:tcPr>
            <w:tcW w:w="1729" w:type="dxa"/>
            <w:tcBorders>
              <w:top w:val="single" w:sz="4" w:space="0" w:color="auto"/>
              <w:left w:val="nil"/>
              <w:bottom w:val="single" w:sz="4" w:space="0" w:color="auto"/>
              <w:right w:val="nil"/>
            </w:tcBorders>
            <w:shd w:val="clear" w:color="auto" w:fill="auto"/>
            <w:noWrap/>
            <w:vAlign w:val="bottom"/>
            <w:hideMark/>
          </w:tcPr>
          <w:p w14:paraId="49911680" w14:textId="77777777"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ROC/AUC</w:t>
            </w:r>
          </w:p>
        </w:tc>
        <w:tc>
          <w:tcPr>
            <w:tcW w:w="1729" w:type="dxa"/>
            <w:tcBorders>
              <w:top w:val="single" w:sz="4" w:space="0" w:color="auto"/>
              <w:left w:val="nil"/>
              <w:bottom w:val="single" w:sz="4" w:space="0" w:color="auto"/>
              <w:right w:val="nil"/>
            </w:tcBorders>
            <w:shd w:val="clear" w:color="auto" w:fill="auto"/>
            <w:noWrap/>
            <w:vAlign w:val="bottom"/>
            <w:hideMark/>
          </w:tcPr>
          <w:p w14:paraId="5E1906C9" w14:textId="2E777705"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 xml:space="preserve">Brier </w:t>
            </w:r>
            <w:r w:rsidR="004846E3" w:rsidRPr="00695499">
              <w:rPr>
                <w:rFonts w:eastAsia="Times New Roman" w:cs="Times New Roman"/>
                <w:color w:val="000000"/>
                <w:kern w:val="0"/>
                <w:sz w:val="20"/>
                <w:szCs w:val="20"/>
                <w14:ligatures w14:val="none"/>
              </w:rPr>
              <w:t>Score</w:t>
            </w:r>
          </w:p>
        </w:tc>
        <w:tc>
          <w:tcPr>
            <w:tcW w:w="1288" w:type="dxa"/>
            <w:tcBorders>
              <w:top w:val="single" w:sz="4" w:space="0" w:color="auto"/>
              <w:left w:val="nil"/>
              <w:bottom w:val="single" w:sz="4" w:space="0" w:color="auto"/>
              <w:right w:val="nil"/>
            </w:tcBorders>
            <w:shd w:val="clear" w:color="auto" w:fill="auto"/>
            <w:noWrap/>
            <w:vAlign w:val="bottom"/>
            <w:hideMark/>
          </w:tcPr>
          <w:p w14:paraId="01264881" w14:textId="28C87800"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Practical Equivalence</w:t>
            </w:r>
          </w:p>
        </w:tc>
      </w:tr>
      <w:tr w:rsidR="006409CC" w:rsidRPr="00695499" w14:paraId="60E8D60B" w14:textId="77777777" w:rsidTr="0059270A">
        <w:trPr>
          <w:trHeight w:val="295"/>
        </w:trPr>
        <w:tc>
          <w:tcPr>
            <w:tcW w:w="1209" w:type="dxa"/>
            <w:tcBorders>
              <w:top w:val="single" w:sz="4" w:space="0" w:color="auto"/>
              <w:left w:val="nil"/>
              <w:bottom w:val="nil"/>
              <w:right w:val="nil"/>
            </w:tcBorders>
            <w:shd w:val="clear" w:color="auto" w:fill="auto"/>
            <w:noWrap/>
            <w:vAlign w:val="center"/>
            <w:hideMark/>
          </w:tcPr>
          <w:p w14:paraId="1B1D3485"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MLP</w:t>
            </w:r>
          </w:p>
        </w:tc>
        <w:tc>
          <w:tcPr>
            <w:tcW w:w="1750" w:type="dxa"/>
            <w:tcBorders>
              <w:top w:val="single" w:sz="4" w:space="0" w:color="auto"/>
              <w:left w:val="nil"/>
              <w:bottom w:val="nil"/>
              <w:right w:val="nil"/>
            </w:tcBorders>
            <w:shd w:val="clear" w:color="auto" w:fill="auto"/>
            <w:noWrap/>
            <w:vAlign w:val="center"/>
            <w:hideMark/>
          </w:tcPr>
          <w:p w14:paraId="4A749471" w14:textId="640C561D"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97.9%</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(98.9%)</w:t>
            </w:r>
          </w:p>
        </w:tc>
        <w:tc>
          <w:tcPr>
            <w:tcW w:w="1750" w:type="dxa"/>
            <w:tcBorders>
              <w:top w:val="single" w:sz="4" w:space="0" w:color="auto"/>
              <w:left w:val="nil"/>
              <w:bottom w:val="nil"/>
              <w:right w:val="nil"/>
            </w:tcBorders>
            <w:shd w:val="clear" w:color="auto" w:fill="auto"/>
            <w:noWrap/>
            <w:vAlign w:val="center"/>
            <w:hideMark/>
          </w:tcPr>
          <w:p w14:paraId="756F8522" w14:textId="560EAE5C"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98.0%</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(99.0%)</w:t>
            </w:r>
          </w:p>
        </w:tc>
        <w:tc>
          <w:tcPr>
            <w:tcW w:w="1729" w:type="dxa"/>
            <w:tcBorders>
              <w:top w:val="single" w:sz="4" w:space="0" w:color="auto"/>
              <w:left w:val="nil"/>
              <w:bottom w:val="nil"/>
              <w:right w:val="nil"/>
            </w:tcBorders>
            <w:shd w:val="clear" w:color="auto" w:fill="auto"/>
            <w:noWrap/>
            <w:vAlign w:val="center"/>
            <w:hideMark/>
          </w:tcPr>
          <w:p w14:paraId="525355D9" w14:textId="7ECF2CAC"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0.995</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(1)</w:t>
            </w:r>
          </w:p>
        </w:tc>
        <w:tc>
          <w:tcPr>
            <w:tcW w:w="1729" w:type="dxa"/>
            <w:tcBorders>
              <w:top w:val="single" w:sz="4" w:space="0" w:color="auto"/>
              <w:left w:val="nil"/>
              <w:bottom w:val="nil"/>
              <w:right w:val="nil"/>
            </w:tcBorders>
            <w:shd w:val="clear" w:color="auto" w:fill="auto"/>
            <w:noWrap/>
            <w:vAlign w:val="center"/>
            <w:hideMark/>
          </w:tcPr>
          <w:p w14:paraId="62114045" w14:textId="2C50C044"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0.017</w:t>
            </w:r>
            <w:r w:rsidR="005271D9" w:rsidRPr="00695499">
              <w:rPr>
                <w:rFonts w:eastAsia="Times New Roman" w:cs="Times New Roman"/>
                <w:color w:val="000000"/>
                <w:kern w:val="0"/>
                <w:sz w:val="20"/>
                <w:szCs w:val="20"/>
                <w14:ligatures w14:val="none"/>
              </w:rPr>
              <w:t xml:space="preserve"> ±</w:t>
            </w:r>
            <w:r w:rsidRPr="00695499">
              <w:rPr>
                <w:rFonts w:eastAsia="Times New Roman" w:cs="Times New Roman"/>
                <w:color w:val="000000"/>
                <w:kern w:val="0"/>
                <w:sz w:val="20"/>
                <w:szCs w:val="20"/>
                <w14:ligatures w14:val="none"/>
              </w:rPr>
              <w:t xml:space="preserve"> 0.002 (0.01)</w:t>
            </w:r>
          </w:p>
        </w:tc>
        <w:tc>
          <w:tcPr>
            <w:tcW w:w="1288" w:type="dxa"/>
            <w:tcBorders>
              <w:top w:val="single" w:sz="4" w:space="0" w:color="auto"/>
              <w:left w:val="nil"/>
              <w:bottom w:val="nil"/>
              <w:right w:val="nil"/>
            </w:tcBorders>
            <w:shd w:val="clear" w:color="auto" w:fill="auto"/>
            <w:noWrap/>
            <w:vAlign w:val="center"/>
            <w:hideMark/>
          </w:tcPr>
          <w:p w14:paraId="4ADB7A1F" w14:textId="28B5B757"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100.0%</w:t>
            </w:r>
          </w:p>
        </w:tc>
      </w:tr>
      <w:tr w:rsidR="006409CC" w:rsidRPr="00695499" w14:paraId="369AEF8A" w14:textId="77777777" w:rsidTr="0059270A">
        <w:trPr>
          <w:trHeight w:val="295"/>
        </w:trPr>
        <w:tc>
          <w:tcPr>
            <w:tcW w:w="1209" w:type="dxa"/>
            <w:tcBorders>
              <w:top w:val="nil"/>
              <w:left w:val="nil"/>
              <w:bottom w:val="nil"/>
              <w:right w:val="nil"/>
            </w:tcBorders>
            <w:shd w:val="clear" w:color="auto" w:fill="auto"/>
            <w:noWrap/>
            <w:vAlign w:val="center"/>
            <w:hideMark/>
          </w:tcPr>
          <w:p w14:paraId="5F685B94"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SVM</w:t>
            </w:r>
          </w:p>
        </w:tc>
        <w:tc>
          <w:tcPr>
            <w:tcW w:w="1750" w:type="dxa"/>
            <w:tcBorders>
              <w:top w:val="nil"/>
              <w:left w:val="nil"/>
              <w:bottom w:val="nil"/>
              <w:right w:val="nil"/>
            </w:tcBorders>
            <w:shd w:val="clear" w:color="auto" w:fill="auto"/>
            <w:noWrap/>
            <w:vAlign w:val="center"/>
            <w:hideMark/>
          </w:tcPr>
          <w:p w14:paraId="418E3912" w14:textId="2A5BB28E"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97.6%</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0.2% (98.8%)</w:t>
            </w:r>
          </w:p>
        </w:tc>
        <w:tc>
          <w:tcPr>
            <w:tcW w:w="1750" w:type="dxa"/>
            <w:tcBorders>
              <w:top w:val="nil"/>
              <w:left w:val="nil"/>
              <w:bottom w:val="nil"/>
              <w:right w:val="nil"/>
            </w:tcBorders>
            <w:shd w:val="clear" w:color="auto" w:fill="auto"/>
            <w:noWrap/>
            <w:vAlign w:val="center"/>
            <w:hideMark/>
          </w:tcPr>
          <w:p w14:paraId="08304E7F" w14:textId="7069FDE3"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96.7%</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(98.1%)</w:t>
            </w:r>
          </w:p>
        </w:tc>
        <w:tc>
          <w:tcPr>
            <w:tcW w:w="1729" w:type="dxa"/>
            <w:tcBorders>
              <w:top w:val="nil"/>
              <w:left w:val="nil"/>
              <w:bottom w:val="nil"/>
              <w:right w:val="nil"/>
            </w:tcBorders>
            <w:shd w:val="clear" w:color="auto" w:fill="auto"/>
            <w:noWrap/>
            <w:vAlign w:val="center"/>
            <w:hideMark/>
          </w:tcPr>
          <w:p w14:paraId="40400147" w14:textId="7043771C"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0.996</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(1)</w:t>
            </w:r>
          </w:p>
        </w:tc>
        <w:tc>
          <w:tcPr>
            <w:tcW w:w="1729" w:type="dxa"/>
            <w:tcBorders>
              <w:top w:val="nil"/>
              <w:left w:val="nil"/>
              <w:bottom w:val="nil"/>
              <w:right w:val="nil"/>
            </w:tcBorders>
            <w:shd w:val="clear" w:color="auto" w:fill="auto"/>
            <w:noWrap/>
            <w:vAlign w:val="center"/>
            <w:hideMark/>
          </w:tcPr>
          <w:p w14:paraId="727DE1E6" w14:textId="005A1AEA"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0.015</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0.002 (0.007)</w:t>
            </w:r>
          </w:p>
        </w:tc>
        <w:tc>
          <w:tcPr>
            <w:tcW w:w="1288" w:type="dxa"/>
            <w:tcBorders>
              <w:top w:val="nil"/>
              <w:left w:val="nil"/>
              <w:bottom w:val="nil"/>
              <w:right w:val="nil"/>
            </w:tcBorders>
            <w:shd w:val="clear" w:color="auto" w:fill="auto"/>
            <w:noWrap/>
            <w:vAlign w:val="center"/>
            <w:hideMark/>
          </w:tcPr>
          <w:p w14:paraId="62501DFA" w14:textId="5E4751A2"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99.2%</w:t>
            </w:r>
          </w:p>
        </w:tc>
      </w:tr>
      <w:tr w:rsidR="006409CC" w:rsidRPr="00695499" w14:paraId="548B8A74" w14:textId="77777777" w:rsidTr="0059270A">
        <w:trPr>
          <w:trHeight w:val="295"/>
        </w:trPr>
        <w:tc>
          <w:tcPr>
            <w:tcW w:w="1209" w:type="dxa"/>
            <w:tcBorders>
              <w:top w:val="nil"/>
              <w:left w:val="nil"/>
              <w:right w:val="nil"/>
            </w:tcBorders>
            <w:shd w:val="clear" w:color="auto" w:fill="auto"/>
            <w:noWrap/>
            <w:vAlign w:val="center"/>
            <w:hideMark/>
          </w:tcPr>
          <w:p w14:paraId="70E4544D"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LASSO</w:t>
            </w:r>
          </w:p>
        </w:tc>
        <w:tc>
          <w:tcPr>
            <w:tcW w:w="1750" w:type="dxa"/>
            <w:tcBorders>
              <w:top w:val="nil"/>
              <w:left w:val="nil"/>
              <w:right w:val="nil"/>
            </w:tcBorders>
            <w:shd w:val="clear" w:color="auto" w:fill="auto"/>
            <w:noWrap/>
            <w:vAlign w:val="center"/>
            <w:hideMark/>
          </w:tcPr>
          <w:p w14:paraId="0282FFA5" w14:textId="529364FA"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(97.4%)</w:t>
            </w:r>
          </w:p>
        </w:tc>
        <w:tc>
          <w:tcPr>
            <w:tcW w:w="1750" w:type="dxa"/>
            <w:tcBorders>
              <w:top w:val="nil"/>
              <w:left w:val="nil"/>
              <w:right w:val="nil"/>
            </w:tcBorders>
            <w:shd w:val="clear" w:color="auto" w:fill="auto"/>
            <w:noWrap/>
            <w:vAlign w:val="center"/>
            <w:hideMark/>
          </w:tcPr>
          <w:p w14:paraId="7695FF2E" w14:textId="51AD51F1"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(97.1%)</w:t>
            </w:r>
          </w:p>
        </w:tc>
        <w:tc>
          <w:tcPr>
            <w:tcW w:w="1729" w:type="dxa"/>
            <w:tcBorders>
              <w:top w:val="nil"/>
              <w:left w:val="nil"/>
              <w:right w:val="nil"/>
            </w:tcBorders>
            <w:shd w:val="clear" w:color="auto" w:fill="auto"/>
            <w:noWrap/>
            <w:vAlign w:val="center"/>
            <w:hideMark/>
          </w:tcPr>
          <w:p w14:paraId="736B884A" w14:textId="436B3CA6"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0.997</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(0.998)</w:t>
            </w:r>
          </w:p>
        </w:tc>
        <w:tc>
          <w:tcPr>
            <w:tcW w:w="1729" w:type="dxa"/>
            <w:tcBorders>
              <w:top w:val="nil"/>
              <w:left w:val="nil"/>
              <w:right w:val="nil"/>
            </w:tcBorders>
            <w:shd w:val="clear" w:color="auto" w:fill="auto"/>
            <w:noWrap/>
            <w:vAlign w:val="center"/>
            <w:hideMark/>
          </w:tcPr>
          <w:p w14:paraId="7F58641B" w14:textId="5E525D38"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0.022</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0.002 (0.021)</w:t>
            </w:r>
          </w:p>
        </w:tc>
        <w:tc>
          <w:tcPr>
            <w:tcW w:w="1288" w:type="dxa"/>
            <w:tcBorders>
              <w:top w:val="nil"/>
              <w:left w:val="nil"/>
              <w:right w:val="nil"/>
            </w:tcBorders>
            <w:shd w:val="clear" w:color="auto" w:fill="auto"/>
            <w:noWrap/>
            <w:vAlign w:val="center"/>
            <w:hideMark/>
          </w:tcPr>
          <w:p w14:paraId="7D056F4B" w14:textId="71139A33"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97.7%</w:t>
            </w:r>
          </w:p>
        </w:tc>
      </w:tr>
      <w:tr w:rsidR="006409CC" w:rsidRPr="00695499" w14:paraId="05A53A26" w14:textId="77777777" w:rsidTr="0059270A">
        <w:trPr>
          <w:trHeight w:val="295"/>
        </w:trPr>
        <w:tc>
          <w:tcPr>
            <w:tcW w:w="1209" w:type="dxa"/>
            <w:tcBorders>
              <w:left w:val="nil"/>
              <w:bottom w:val="single" w:sz="4" w:space="0" w:color="auto"/>
              <w:right w:val="nil"/>
            </w:tcBorders>
            <w:shd w:val="clear" w:color="auto" w:fill="auto"/>
            <w:noWrap/>
            <w:vAlign w:val="center"/>
            <w:hideMark/>
          </w:tcPr>
          <w:p w14:paraId="084B67E0"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Random Forest</w:t>
            </w:r>
          </w:p>
        </w:tc>
        <w:tc>
          <w:tcPr>
            <w:tcW w:w="1750" w:type="dxa"/>
            <w:tcBorders>
              <w:left w:val="nil"/>
              <w:bottom w:val="single" w:sz="4" w:space="0" w:color="auto"/>
              <w:right w:val="nil"/>
            </w:tcBorders>
            <w:shd w:val="clear" w:color="auto" w:fill="auto"/>
            <w:noWrap/>
            <w:vAlign w:val="center"/>
            <w:hideMark/>
          </w:tcPr>
          <w:p w14:paraId="4FDCA6C9" w14:textId="0FD7654F"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97.2%</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0.2% (97.8%)</w:t>
            </w:r>
          </w:p>
        </w:tc>
        <w:tc>
          <w:tcPr>
            <w:tcW w:w="1750" w:type="dxa"/>
            <w:tcBorders>
              <w:left w:val="nil"/>
              <w:bottom w:val="single" w:sz="4" w:space="0" w:color="auto"/>
              <w:right w:val="nil"/>
            </w:tcBorders>
            <w:shd w:val="clear" w:color="auto" w:fill="auto"/>
            <w:noWrap/>
            <w:vAlign w:val="center"/>
            <w:hideMark/>
          </w:tcPr>
          <w:p w14:paraId="5EF73F84" w14:textId="54CD3408"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97.7%</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(98.1%)</w:t>
            </w:r>
          </w:p>
        </w:tc>
        <w:tc>
          <w:tcPr>
            <w:tcW w:w="1729" w:type="dxa"/>
            <w:tcBorders>
              <w:left w:val="nil"/>
              <w:bottom w:val="single" w:sz="4" w:space="0" w:color="auto"/>
              <w:right w:val="nil"/>
            </w:tcBorders>
            <w:shd w:val="clear" w:color="auto" w:fill="auto"/>
            <w:noWrap/>
            <w:vAlign w:val="center"/>
            <w:hideMark/>
          </w:tcPr>
          <w:p w14:paraId="4E4C8444" w14:textId="660503B7"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0.994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(0.999)</w:t>
            </w:r>
          </w:p>
        </w:tc>
        <w:tc>
          <w:tcPr>
            <w:tcW w:w="1729" w:type="dxa"/>
            <w:tcBorders>
              <w:left w:val="nil"/>
              <w:bottom w:val="single" w:sz="4" w:space="0" w:color="auto"/>
              <w:right w:val="nil"/>
            </w:tcBorders>
            <w:shd w:val="clear" w:color="auto" w:fill="auto"/>
            <w:noWrap/>
            <w:vAlign w:val="center"/>
            <w:hideMark/>
          </w:tcPr>
          <w:p w14:paraId="687B1252" w14:textId="78066F4F"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0.026</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0.002 (0.022)</w:t>
            </w:r>
          </w:p>
        </w:tc>
        <w:tc>
          <w:tcPr>
            <w:tcW w:w="1288" w:type="dxa"/>
            <w:tcBorders>
              <w:left w:val="nil"/>
              <w:bottom w:val="single" w:sz="4" w:space="0" w:color="auto"/>
              <w:right w:val="nil"/>
            </w:tcBorders>
            <w:shd w:val="clear" w:color="auto" w:fill="auto"/>
            <w:noWrap/>
            <w:vAlign w:val="center"/>
            <w:hideMark/>
          </w:tcPr>
          <w:p w14:paraId="547ACA06" w14:textId="180F9B61"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82.5%</w:t>
            </w:r>
          </w:p>
        </w:tc>
      </w:tr>
      <w:tr w:rsidR="006409CC" w:rsidRPr="00695499" w14:paraId="7F33040D" w14:textId="77777777" w:rsidTr="0059270A">
        <w:trPr>
          <w:trHeight w:val="295"/>
        </w:trPr>
        <w:tc>
          <w:tcPr>
            <w:tcW w:w="1209" w:type="dxa"/>
            <w:tcBorders>
              <w:top w:val="single" w:sz="4" w:space="0" w:color="auto"/>
              <w:left w:val="nil"/>
              <w:bottom w:val="nil"/>
              <w:right w:val="nil"/>
            </w:tcBorders>
            <w:shd w:val="clear" w:color="auto" w:fill="auto"/>
            <w:noWrap/>
            <w:vAlign w:val="center"/>
            <w:hideMark/>
          </w:tcPr>
          <w:p w14:paraId="2EB481D9"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KNN</w:t>
            </w:r>
          </w:p>
        </w:tc>
        <w:tc>
          <w:tcPr>
            <w:tcW w:w="1750" w:type="dxa"/>
            <w:tcBorders>
              <w:top w:val="single" w:sz="4" w:space="0" w:color="auto"/>
              <w:left w:val="nil"/>
              <w:bottom w:val="nil"/>
              <w:right w:val="nil"/>
            </w:tcBorders>
            <w:shd w:val="clear" w:color="auto" w:fill="auto"/>
            <w:noWrap/>
            <w:vAlign w:val="center"/>
            <w:hideMark/>
          </w:tcPr>
          <w:p w14:paraId="5DE62497" w14:textId="552F568E"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94.3%</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0.4% (95.3%)</w:t>
            </w:r>
          </w:p>
        </w:tc>
        <w:tc>
          <w:tcPr>
            <w:tcW w:w="1750" w:type="dxa"/>
            <w:tcBorders>
              <w:top w:val="single" w:sz="4" w:space="0" w:color="auto"/>
              <w:left w:val="nil"/>
              <w:bottom w:val="nil"/>
              <w:right w:val="nil"/>
            </w:tcBorders>
            <w:shd w:val="clear" w:color="auto" w:fill="auto"/>
            <w:noWrap/>
            <w:vAlign w:val="center"/>
            <w:hideMark/>
          </w:tcPr>
          <w:p w14:paraId="6116AEFD" w14:textId="31AAE38D"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95.4%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0.4% (96.2%)</w:t>
            </w:r>
          </w:p>
        </w:tc>
        <w:tc>
          <w:tcPr>
            <w:tcW w:w="1729" w:type="dxa"/>
            <w:tcBorders>
              <w:top w:val="single" w:sz="4" w:space="0" w:color="auto"/>
              <w:left w:val="nil"/>
              <w:bottom w:val="nil"/>
              <w:right w:val="nil"/>
            </w:tcBorders>
            <w:shd w:val="clear" w:color="auto" w:fill="auto"/>
            <w:noWrap/>
            <w:vAlign w:val="center"/>
            <w:hideMark/>
          </w:tcPr>
          <w:p w14:paraId="3E43FC99" w14:textId="25340C8D"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0.972</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0.004 (0.98)</w:t>
            </w:r>
          </w:p>
        </w:tc>
        <w:tc>
          <w:tcPr>
            <w:tcW w:w="1729" w:type="dxa"/>
            <w:tcBorders>
              <w:top w:val="single" w:sz="4" w:space="0" w:color="auto"/>
              <w:left w:val="nil"/>
              <w:bottom w:val="nil"/>
              <w:right w:val="nil"/>
            </w:tcBorders>
            <w:shd w:val="clear" w:color="auto" w:fill="auto"/>
            <w:noWrap/>
            <w:vAlign w:val="center"/>
            <w:hideMark/>
          </w:tcPr>
          <w:p w14:paraId="513E4782" w14:textId="2EB6AC68"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0.044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0.003 (0.038)</w:t>
            </w:r>
          </w:p>
        </w:tc>
        <w:tc>
          <w:tcPr>
            <w:tcW w:w="1288" w:type="dxa"/>
            <w:tcBorders>
              <w:top w:val="single" w:sz="4" w:space="0" w:color="auto"/>
              <w:left w:val="nil"/>
              <w:bottom w:val="nil"/>
              <w:right w:val="nil"/>
            </w:tcBorders>
            <w:shd w:val="clear" w:color="auto" w:fill="auto"/>
            <w:noWrap/>
            <w:vAlign w:val="center"/>
            <w:hideMark/>
          </w:tcPr>
          <w:p w14:paraId="5D4A1C78" w14:textId="29C88DAA"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w:t>
            </w:r>
          </w:p>
        </w:tc>
      </w:tr>
      <w:tr w:rsidR="006409CC" w:rsidRPr="00695499" w14:paraId="1254AFE1" w14:textId="77777777" w:rsidTr="0059270A">
        <w:trPr>
          <w:trHeight w:val="295"/>
        </w:trPr>
        <w:tc>
          <w:tcPr>
            <w:tcW w:w="1209" w:type="dxa"/>
            <w:tcBorders>
              <w:top w:val="nil"/>
              <w:left w:val="nil"/>
              <w:right w:val="nil"/>
            </w:tcBorders>
            <w:shd w:val="clear" w:color="auto" w:fill="auto"/>
            <w:noWrap/>
            <w:vAlign w:val="center"/>
            <w:hideMark/>
          </w:tcPr>
          <w:p w14:paraId="632F6C78"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PLS</w:t>
            </w:r>
          </w:p>
        </w:tc>
        <w:tc>
          <w:tcPr>
            <w:tcW w:w="1750" w:type="dxa"/>
            <w:tcBorders>
              <w:top w:val="nil"/>
              <w:left w:val="nil"/>
              <w:right w:val="nil"/>
            </w:tcBorders>
            <w:shd w:val="clear" w:color="auto" w:fill="auto"/>
            <w:noWrap/>
            <w:vAlign w:val="center"/>
            <w:hideMark/>
          </w:tcPr>
          <w:p w14:paraId="2D611A47" w14:textId="77F9B2F0"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92.7%</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0.2% (93.0%)</w:t>
            </w:r>
          </w:p>
        </w:tc>
        <w:tc>
          <w:tcPr>
            <w:tcW w:w="1750" w:type="dxa"/>
            <w:tcBorders>
              <w:top w:val="nil"/>
              <w:left w:val="nil"/>
              <w:right w:val="nil"/>
            </w:tcBorders>
            <w:shd w:val="clear" w:color="auto" w:fill="auto"/>
            <w:noWrap/>
            <w:vAlign w:val="center"/>
            <w:hideMark/>
          </w:tcPr>
          <w:p w14:paraId="0139D1BD" w14:textId="286AD27E"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98.0%</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0.2% (99.0%)</w:t>
            </w:r>
          </w:p>
        </w:tc>
        <w:tc>
          <w:tcPr>
            <w:tcW w:w="1729" w:type="dxa"/>
            <w:tcBorders>
              <w:top w:val="nil"/>
              <w:left w:val="nil"/>
              <w:right w:val="nil"/>
            </w:tcBorders>
            <w:shd w:val="clear" w:color="auto" w:fill="auto"/>
            <w:noWrap/>
            <w:vAlign w:val="center"/>
            <w:hideMark/>
          </w:tcPr>
          <w:p w14:paraId="222FFF20" w14:textId="5EC390C1"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0.997</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(1)</w:t>
            </w:r>
          </w:p>
        </w:tc>
        <w:tc>
          <w:tcPr>
            <w:tcW w:w="1729" w:type="dxa"/>
            <w:tcBorders>
              <w:top w:val="nil"/>
              <w:left w:val="nil"/>
              <w:right w:val="nil"/>
            </w:tcBorders>
            <w:shd w:val="clear" w:color="auto" w:fill="auto"/>
            <w:noWrap/>
            <w:vAlign w:val="center"/>
            <w:hideMark/>
          </w:tcPr>
          <w:p w14:paraId="265B42B3" w14:textId="40D10224"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0.094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(0.096)</w:t>
            </w:r>
          </w:p>
        </w:tc>
        <w:tc>
          <w:tcPr>
            <w:tcW w:w="1288" w:type="dxa"/>
            <w:tcBorders>
              <w:top w:val="nil"/>
              <w:left w:val="nil"/>
              <w:right w:val="nil"/>
            </w:tcBorders>
            <w:shd w:val="clear" w:color="auto" w:fill="auto"/>
            <w:noWrap/>
            <w:vAlign w:val="center"/>
            <w:hideMark/>
          </w:tcPr>
          <w:p w14:paraId="161A845D" w14:textId="0DEF79CB"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w:t>
            </w:r>
          </w:p>
        </w:tc>
      </w:tr>
      <w:tr w:rsidR="006409CC" w:rsidRPr="00695499" w14:paraId="605B3C88" w14:textId="77777777" w:rsidTr="0059270A">
        <w:trPr>
          <w:trHeight w:val="295"/>
        </w:trPr>
        <w:tc>
          <w:tcPr>
            <w:tcW w:w="1209" w:type="dxa"/>
            <w:tcBorders>
              <w:top w:val="nil"/>
              <w:left w:val="nil"/>
              <w:bottom w:val="single" w:sz="4" w:space="0" w:color="auto"/>
              <w:right w:val="nil"/>
            </w:tcBorders>
            <w:shd w:val="clear" w:color="auto" w:fill="auto"/>
            <w:noWrap/>
            <w:vAlign w:val="center"/>
            <w:hideMark/>
          </w:tcPr>
          <w:p w14:paraId="55EBFC87"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Null</w:t>
            </w:r>
          </w:p>
        </w:tc>
        <w:tc>
          <w:tcPr>
            <w:tcW w:w="1750" w:type="dxa"/>
            <w:tcBorders>
              <w:top w:val="nil"/>
              <w:left w:val="nil"/>
              <w:bottom w:val="single" w:sz="4" w:space="0" w:color="auto"/>
              <w:right w:val="nil"/>
            </w:tcBorders>
            <w:shd w:val="clear" w:color="auto" w:fill="auto"/>
            <w:noWrap/>
            <w:vAlign w:val="center"/>
            <w:hideMark/>
          </w:tcPr>
          <w:p w14:paraId="5943A890" w14:textId="4A1668E4"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53.0%</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0.1% (53.0%)</w:t>
            </w:r>
          </w:p>
        </w:tc>
        <w:tc>
          <w:tcPr>
            <w:tcW w:w="1750" w:type="dxa"/>
            <w:tcBorders>
              <w:top w:val="nil"/>
              <w:left w:val="nil"/>
              <w:bottom w:val="single" w:sz="4" w:space="0" w:color="auto"/>
              <w:right w:val="nil"/>
            </w:tcBorders>
            <w:shd w:val="clear" w:color="auto" w:fill="auto"/>
            <w:noWrap/>
            <w:vAlign w:val="center"/>
            <w:hideMark/>
          </w:tcPr>
          <w:p w14:paraId="13A6727C" w14:textId="0D47CC74"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65.4%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0.1% (65.4%)</w:t>
            </w:r>
          </w:p>
        </w:tc>
        <w:tc>
          <w:tcPr>
            <w:tcW w:w="1729" w:type="dxa"/>
            <w:tcBorders>
              <w:top w:val="nil"/>
              <w:left w:val="nil"/>
              <w:bottom w:val="single" w:sz="4" w:space="0" w:color="auto"/>
              <w:right w:val="nil"/>
            </w:tcBorders>
            <w:shd w:val="clear" w:color="auto" w:fill="auto"/>
            <w:noWrap/>
            <w:vAlign w:val="center"/>
            <w:hideMark/>
          </w:tcPr>
          <w:p w14:paraId="7382AE2D" w14:textId="159E1EE6"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0.5</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 (0.5)</w:t>
            </w:r>
          </w:p>
        </w:tc>
        <w:tc>
          <w:tcPr>
            <w:tcW w:w="1729" w:type="dxa"/>
            <w:tcBorders>
              <w:top w:val="nil"/>
              <w:left w:val="nil"/>
              <w:bottom w:val="single" w:sz="4" w:space="0" w:color="auto"/>
              <w:right w:val="nil"/>
            </w:tcBorders>
            <w:shd w:val="clear" w:color="auto" w:fill="auto"/>
            <w:noWrap/>
            <w:vAlign w:val="center"/>
            <w:hideMark/>
          </w:tcPr>
          <w:p w14:paraId="7760D7D9" w14:textId="7141FEA7"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0.226</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 (0.226)</w:t>
            </w:r>
          </w:p>
        </w:tc>
        <w:tc>
          <w:tcPr>
            <w:tcW w:w="1288" w:type="dxa"/>
            <w:tcBorders>
              <w:top w:val="nil"/>
              <w:left w:val="nil"/>
              <w:bottom w:val="single" w:sz="4" w:space="0" w:color="auto"/>
              <w:right w:val="nil"/>
            </w:tcBorders>
            <w:shd w:val="clear" w:color="auto" w:fill="auto"/>
            <w:noWrap/>
            <w:vAlign w:val="center"/>
            <w:hideMark/>
          </w:tcPr>
          <w:p w14:paraId="5945A86D" w14:textId="37201BB7"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w:t>
            </w:r>
          </w:p>
        </w:tc>
      </w:tr>
    </w:tbl>
    <w:p w14:paraId="344B7B5D" w14:textId="096F79EF" w:rsidR="00BE1192" w:rsidRPr="00D02C43" w:rsidRDefault="00BE1192" w:rsidP="00BE1192">
      <w:pPr>
        <w:rPr>
          <w:sz w:val="22"/>
          <w:szCs w:val="20"/>
        </w:rPr>
      </w:pPr>
    </w:p>
    <w:p w14:paraId="5B6844BD" w14:textId="77777777" w:rsidR="00C37CD5" w:rsidRPr="00D02C43" w:rsidRDefault="00C37CD5">
      <w:pPr>
        <w:rPr>
          <w:sz w:val="22"/>
          <w:szCs w:val="20"/>
        </w:rPr>
      </w:pPr>
      <w:r w:rsidRPr="00D02C43">
        <w:rPr>
          <w:sz w:val="22"/>
          <w:szCs w:val="20"/>
        </w:rPr>
        <w:br w:type="page"/>
      </w:r>
    </w:p>
    <w:p w14:paraId="3CAA1762" w14:textId="77777777" w:rsidR="00D02C43" w:rsidRDefault="00D02C43">
      <w:pPr>
        <w:rPr>
          <w:sz w:val="22"/>
          <w:szCs w:val="20"/>
        </w:rPr>
        <w:sectPr w:rsidR="00D02C43" w:rsidSect="00341FA1">
          <w:pgSz w:w="12240" w:h="15840"/>
          <w:pgMar w:top="1440" w:right="1440" w:bottom="1440" w:left="1440" w:header="720" w:footer="720" w:gutter="0"/>
          <w:lnNumType w:countBy="1" w:restart="continuous"/>
          <w:cols w:space="720"/>
          <w:docGrid w:linePitch="360"/>
        </w:sectPr>
      </w:pPr>
    </w:p>
    <w:p w14:paraId="4588BE4E" w14:textId="77777777" w:rsidR="00C37CD5" w:rsidRPr="00D02C43" w:rsidRDefault="00C37CD5">
      <w:pPr>
        <w:rPr>
          <w:sz w:val="22"/>
          <w:szCs w:val="20"/>
        </w:rPr>
      </w:pPr>
    </w:p>
    <w:p w14:paraId="2E5C56FC" w14:textId="052085B1" w:rsidR="002F1671" w:rsidRPr="00DE793B" w:rsidRDefault="002F1671" w:rsidP="002F1671">
      <w:pPr>
        <w:pStyle w:val="Caption"/>
        <w:keepNext/>
        <w:rPr>
          <w:sz w:val="22"/>
          <w:szCs w:val="22"/>
        </w:rPr>
      </w:pPr>
      <w:r w:rsidRPr="00DE793B">
        <w:rPr>
          <w:sz w:val="22"/>
          <w:szCs w:val="22"/>
        </w:rPr>
        <w:t xml:space="preserve">Table </w:t>
      </w:r>
      <w:r w:rsidR="00000000" w:rsidRPr="00DE793B">
        <w:rPr>
          <w:sz w:val="22"/>
          <w:szCs w:val="22"/>
        </w:rPr>
        <w:fldChar w:fldCharType="begin"/>
      </w:r>
      <w:r w:rsidR="00000000" w:rsidRPr="00DE793B">
        <w:rPr>
          <w:sz w:val="22"/>
          <w:szCs w:val="22"/>
        </w:rPr>
        <w:instrText xml:space="preserve"> SEQ Table \* ARABIC </w:instrText>
      </w:r>
      <w:r w:rsidR="00000000" w:rsidRPr="00DE793B">
        <w:rPr>
          <w:sz w:val="22"/>
          <w:szCs w:val="22"/>
        </w:rPr>
        <w:fldChar w:fldCharType="separate"/>
      </w:r>
      <w:r w:rsidRPr="00DE793B">
        <w:rPr>
          <w:noProof/>
          <w:sz w:val="22"/>
          <w:szCs w:val="22"/>
        </w:rPr>
        <w:t>2</w:t>
      </w:r>
      <w:r w:rsidR="00000000" w:rsidRPr="00DE793B">
        <w:rPr>
          <w:noProof/>
          <w:sz w:val="22"/>
          <w:szCs w:val="22"/>
        </w:rPr>
        <w:fldChar w:fldCharType="end"/>
      </w:r>
      <w:r w:rsidR="00CE1917" w:rsidRPr="00DE793B">
        <w:rPr>
          <w:noProof/>
          <w:sz w:val="22"/>
          <w:szCs w:val="22"/>
        </w:rPr>
        <w:t xml:space="preserve">: The twelve ASVs consistently identified as important in distinguishing healthy and diseased </w:t>
      </w:r>
      <w:r w:rsidR="00CE1917" w:rsidRPr="00DE793B">
        <w:rPr>
          <w:i/>
          <w:iCs w:val="0"/>
          <w:noProof/>
          <w:sz w:val="22"/>
          <w:szCs w:val="22"/>
        </w:rPr>
        <w:t>Acropora cervicornis</w:t>
      </w:r>
      <w:r w:rsidR="00CE1917" w:rsidRPr="00DE793B">
        <w:rPr>
          <w:noProof/>
          <w:sz w:val="22"/>
          <w:szCs w:val="22"/>
        </w:rPr>
        <w:t xml:space="preserve"> showing the median importance ranking of each ASV across equivilant models and the FDR corrected p-value of the test that the rank is better than the average ranking of all considered ASVs. The fold-change difference in diseased and healthy corals (</w:t>
      </w:r>
      <w:r w:rsidR="00CE1917" w:rsidRPr="00DE793B">
        <w:rPr>
          <w:sz w:val="22"/>
          <w:szCs w:val="22"/>
        </w:rPr>
        <w:t>±</w:t>
      </w:r>
      <w:r w:rsidR="00CE1917" w:rsidRPr="00DE793B">
        <w:rPr>
          <w:sz w:val="22"/>
          <w:szCs w:val="22"/>
        </w:rPr>
        <w:t xml:space="preserve"> SE</w:t>
      </w:r>
      <w:r w:rsidR="00CE1917" w:rsidRPr="00DE793B">
        <w:rPr>
          <w:noProof/>
          <w:sz w:val="22"/>
          <w:szCs w:val="22"/>
        </w:rPr>
        <w:t xml:space="preserve">) for each field sampling timepoint and each </w:t>
      </w:r>
      <w:r w:rsidR="00DE793B" w:rsidRPr="00DE793B">
        <w:rPr>
          <w:noProof/>
          <w:sz w:val="22"/>
          <w:szCs w:val="22"/>
        </w:rPr>
        <w:t>of the three tank exposure timepoints, prior to exposure, after disease slurry exposure, and after healthy slurry exposure</w:t>
      </w:r>
      <w:r w:rsidR="00DE793B">
        <w:rPr>
          <w:noProof/>
          <w:sz w:val="22"/>
          <w:szCs w:val="22"/>
        </w:rPr>
        <w:t xml:space="preserve">. Bold </w:t>
      </w:r>
      <w:r w:rsidR="009B5EBA">
        <w:rPr>
          <w:noProof/>
          <w:sz w:val="22"/>
          <w:szCs w:val="22"/>
        </w:rPr>
        <w:t xml:space="preserve">fold-change </w:t>
      </w:r>
      <w:r w:rsidR="00DE793B">
        <w:rPr>
          <w:noProof/>
          <w:sz w:val="22"/>
          <w:szCs w:val="22"/>
        </w:rPr>
        <w:t xml:space="preserve">values indicate they are significantly different from 0. </w:t>
      </w:r>
    </w:p>
    <w:tbl>
      <w:tblPr>
        <w:tblStyle w:val="TableGrid"/>
        <w:tblW w:w="141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86"/>
        <w:gridCol w:w="1404"/>
        <w:gridCol w:w="794"/>
        <w:gridCol w:w="826"/>
        <w:gridCol w:w="826"/>
        <w:gridCol w:w="1274"/>
        <w:gridCol w:w="1276"/>
        <w:gridCol w:w="1276"/>
        <w:gridCol w:w="1276"/>
        <w:gridCol w:w="1276"/>
        <w:gridCol w:w="1008"/>
        <w:gridCol w:w="1009"/>
      </w:tblGrid>
      <w:tr w:rsidR="001178C0" w:rsidRPr="00D92E6D" w14:paraId="408F31CB" w14:textId="77777777" w:rsidTr="00CE1917">
        <w:tc>
          <w:tcPr>
            <w:tcW w:w="2070" w:type="dxa"/>
            <w:vMerge w:val="restart"/>
            <w:tcBorders>
              <w:top w:val="single" w:sz="4" w:space="0" w:color="auto"/>
            </w:tcBorders>
            <w:noWrap/>
            <w:vAlign w:val="bottom"/>
          </w:tcPr>
          <w:p w14:paraId="71826015" w14:textId="4BBCDFDA" w:rsidR="001178C0" w:rsidRPr="00D92E6D" w:rsidRDefault="001178C0" w:rsidP="00E9675C">
            <w:pPr>
              <w:spacing w:after="160" w:line="259" w:lineRule="auto"/>
              <w:rPr>
                <w:sz w:val="20"/>
                <w:szCs w:val="18"/>
              </w:rPr>
            </w:pPr>
            <w:r w:rsidRPr="00D92E6D">
              <w:rPr>
                <w:sz w:val="20"/>
                <w:szCs w:val="18"/>
              </w:rPr>
              <w:t>Family</w:t>
            </w:r>
          </w:p>
        </w:tc>
        <w:tc>
          <w:tcPr>
            <w:tcW w:w="1388" w:type="dxa"/>
            <w:vMerge w:val="restart"/>
            <w:tcBorders>
              <w:top w:val="single" w:sz="4" w:space="0" w:color="auto"/>
            </w:tcBorders>
            <w:noWrap/>
            <w:vAlign w:val="bottom"/>
          </w:tcPr>
          <w:p w14:paraId="31AD0C20" w14:textId="40A3BA21" w:rsidR="001178C0" w:rsidRPr="00D92E6D" w:rsidRDefault="001178C0" w:rsidP="00E9675C">
            <w:pPr>
              <w:spacing w:after="160" w:line="259" w:lineRule="auto"/>
              <w:rPr>
                <w:sz w:val="20"/>
                <w:szCs w:val="18"/>
              </w:rPr>
            </w:pPr>
            <w:r w:rsidRPr="00D92E6D">
              <w:rPr>
                <w:sz w:val="20"/>
                <w:szCs w:val="18"/>
              </w:rPr>
              <w:t>Genus</w:t>
            </w:r>
          </w:p>
        </w:tc>
        <w:tc>
          <w:tcPr>
            <w:tcW w:w="778" w:type="dxa"/>
            <w:vMerge w:val="restart"/>
            <w:tcBorders>
              <w:top w:val="single" w:sz="4" w:space="0" w:color="auto"/>
            </w:tcBorders>
            <w:noWrap/>
            <w:vAlign w:val="bottom"/>
          </w:tcPr>
          <w:p w14:paraId="56B70343" w14:textId="574ACAC1" w:rsidR="001178C0" w:rsidRPr="00D92E6D" w:rsidRDefault="001178C0" w:rsidP="00E9675C">
            <w:pPr>
              <w:spacing w:after="160" w:line="259" w:lineRule="auto"/>
              <w:rPr>
                <w:sz w:val="20"/>
                <w:szCs w:val="18"/>
              </w:rPr>
            </w:pPr>
            <w:r w:rsidRPr="00D92E6D">
              <w:rPr>
                <w:sz w:val="20"/>
                <w:szCs w:val="18"/>
              </w:rPr>
              <w:t>ID</w:t>
            </w:r>
          </w:p>
        </w:tc>
        <w:tc>
          <w:tcPr>
            <w:tcW w:w="810" w:type="dxa"/>
            <w:vMerge w:val="restart"/>
            <w:tcBorders>
              <w:top w:val="single" w:sz="4" w:space="0" w:color="auto"/>
            </w:tcBorders>
            <w:noWrap/>
            <w:vAlign w:val="bottom"/>
          </w:tcPr>
          <w:p w14:paraId="460500CC" w14:textId="2A9D0678" w:rsidR="001178C0" w:rsidRPr="00D92E6D" w:rsidRDefault="00FA48C1" w:rsidP="00E9675C">
            <w:pPr>
              <w:spacing w:after="160" w:line="259" w:lineRule="auto"/>
              <w:jc w:val="center"/>
              <w:rPr>
                <w:sz w:val="20"/>
                <w:szCs w:val="18"/>
              </w:rPr>
            </w:pPr>
            <w:r>
              <w:rPr>
                <w:sz w:val="20"/>
                <w:szCs w:val="18"/>
              </w:rPr>
              <w:t>Median Rank</w:t>
            </w:r>
          </w:p>
        </w:tc>
        <w:tc>
          <w:tcPr>
            <w:tcW w:w="810" w:type="dxa"/>
            <w:vMerge w:val="restart"/>
            <w:tcBorders>
              <w:top w:val="single" w:sz="4" w:space="0" w:color="auto"/>
            </w:tcBorders>
            <w:noWrap/>
            <w:vAlign w:val="bottom"/>
          </w:tcPr>
          <w:p w14:paraId="48FC7BAF" w14:textId="7AC6CD32" w:rsidR="001178C0" w:rsidRPr="00D92E6D" w:rsidRDefault="001178C0" w:rsidP="00E9675C">
            <w:pPr>
              <w:spacing w:after="160" w:line="259" w:lineRule="auto"/>
              <w:jc w:val="center"/>
              <w:rPr>
                <w:sz w:val="20"/>
                <w:szCs w:val="18"/>
              </w:rPr>
            </w:pPr>
            <w:r w:rsidRPr="00D92E6D">
              <w:rPr>
                <w:sz w:val="20"/>
                <w:szCs w:val="18"/>
              </w:rPr>
              <w:t>FDR</w:t>
            </w:r>
          </w:p>
        </w:tc>
        <w:tc>
          <w:tcPr>
            <w:tcW w:w="2518" w:type="dxa"/>
            <w:gridSpan w:val="2"/>
            <w:tcBorders>
              <w:top w:val="single" w:sz="4" w:space="0" w:color="auto"/>
            </w:tcBorders>
            <w:noWrap/>
            <w:vAlign w:val="bottom"/>
          </w:tcPr>
          <w:p w14:paraId="3EC792B5" w14:textId="70179878" w:rsidR="001178C0" w:rsidRPr="00D92E6D" w:rsidRDefault="001178C0" w:rsidP="00E9675C">
            <w:pPr>
              <w:jc w:val="center"/>
              <w:rPr>
                <w:sz w:val="20"/>
                <w:szCs w:val="18"/>
              </w:rPr>
            </w:pPr>
            <w:r w:rsidRPr="00D92E6D">
              <w:rPr>
                <w:sz w:val="20"/>
                <w:szCs w:val="18"/>
              </w:rPr>
              <w:t>2016</w:t>
            </w:r>
          </w:p>
        </w:tc>
        <w:tc>
          <w:tcPr>
            <w:tcW w:w="2520" w:type="dxa"/>
            <w:gridSpan w:val="2"/>
            <w:tcBorders>
              <w:top w:val="single" w:sz="4" w:space="0" w:color="auto"/>
            </w:tcBorders>
            <w:noWrap/>
            <w:vAlign w:val="bottom"/>
          </w:tcPr>
          <w:p w14:paraId="75A7E092" w14:textId="7F2E4C8C" w:rsidR="001178C0" w:rsidRPr="00D92E6D" w:rsidRDefault="001178C0" w:rsidP="00E9675C">
            <w:pPr>
              <w:jc w:val="center"/>
              <w:rPr>
                <w:sz w:val="20"/>
                <w:szCs w:val="18"/>
              </w:rPr>
            </w:pPr>
            <w:r w:rsidRPr="00D92E6D">
              <w:rPr>
                <w:sz w:val="20"/>
                <w:szCs w:val="18"/>
              </w:rPr>
              <w:t>2017</w:t>
            </w:r>
          </w:p>
        </w:tc>
        <w:tc>
          <w:tcPr>
            <w:tcW w:w="1260" w:type="dxa"/>
            <w:vMerge w:val="restart"/>
            <w:tcBorders>
              <w:top w:val="single" w:sz="4" w:space="0" w:color="auto"/>
            </w:tcBorders>
            <w:noWrap/>
            <w:vAlign w:val="bottom"/>
          </w:tcPr>
          <w:p w14:paraId="445F3B52" w14:textId="582576BD" w:rsidR="001178C0" w:rsidRPr="00D92E6D" w:rsidRDefault="001178C0" w:rsidP="00CE1917">
            <w:pPr>
              <w:spacing w:after="160" w:line="259" w:lineRule="auto"/>
              <w:jc w:val="center"/>
              <w:rPr>
                <w:sz w:val="20"/>
                <w:szCs w:val="18"/>
              </w:rPr>
            </w:pPr>
            <w:r w:rsidRPr="00D92E6D">
              <w:rPr>
                <w:sz w:val="20"/>
                <w:szCs w:val="18"/>
              </w:rPr>
              <w:t>Before</w:t>
            </w:r>
          </w:p>
        </w:tc>
        <w:tc>
          <w:tcPr>
            <w:tcW w:w="1985" w:type="dxa"/>
            <w:gridSpan w:val="2"/>
            <w:tcBorders>
              <w:top w:val="single" w:sz="4" w:space="0" w:color="auto"/>
            </w:tcBorders>
            <w:noWrap/>
            <w:vAlign w:val="bottom"/>
          </w:tcPr>
          <w:p w14:paraId="3350DF31" w14:textId="75F963EE" w:rsidR="001178C0" w:rsidRPr="00D92E6D" w:rsidRDefault="001178C0" w:rsidP="00E9675C">
            <w:pPr>
              <w:jc w:val="center"/>
              <w:rPr>
                <w:sz w:val="20"/>
                <w:szCs w:val="18"/>
              </w:rPr>
            </w:pPr>
            <w:r w:rsidRPr="00D92E6D">
              <w:rPr>
                <w:sz w:val="20"/>
                <w:szCs w:val="18"/>
              </w:rPr>
              <w:t>After</w:t>
            </w:r>
          </w:p>
        </w:tc>
      </w:tr>
      <w:tr w:rsidR="001178C0" w:rsidRPr="00D92E6D" w14:paraId="1CDB18EA" w14:textId="77777777" w:rsidTr="00E9675C">
        <w:tc>
          <w:tcPr>
            <w:tcW w:w="2070" w:type="dxa"/>
            <w:vMerge/>
            <w:tcBorders>
              <w:bottom w:val="single" w:sz="4" w:space="0" w:color="auto"/>
            </w:tcBorders>
            <w:noWrap/>
            <w:hideMark/>
          </w:tcPr>
          <w:p w14:paraId="5F0636A1" w14:textId="66C9187A" w:rsidR="001178C0" w:rsidRPr="00D92E6D" w:rsidRDefault="001178C0">
            <w:pPr>
              <w:rPr>
                <w:sz w:val="20"/>
                <w:szCs w:val="18"/>
              </w:rPr>
            </w:pPr>
          </w:p>
        </w:tc>
        <w:tc>
          <w:tcPr>
            <w:tcW w:w="1388" w:type="dxa"/>
            <w:vMerge/>
            <w:tcBorders>
              <w:bottom w:val="single" w:sz="4" w:space="0" w:color="auto"/>
            </w:tcBorders>
            <w:noWrap/>
            <w:hideMark/>
          </w:tcPr>
          <w:p w14:paraId="0C6AA358" w14:textId="2AC41D45" w:rsidR="001178C0" w:rsidRPr="00D92E6D" w:rsidRDefault="001178C0">
            <w:pPr>
              <w:rPr>
                <w:sz w:val="20"/>
                <w:szCs w:val="18"/>
              </w:rPr>
            </w:pPr>
          </w:p>
        </w:tc>
        <w:tc>
          <w:tcPr>
            <w:tcW w:w="778" w:type="dxa"/>
            <w:vMerge/>
            <w:tcBorders>
              <w:bottom w:val="single" w:sz="4" w:space="0" w:color="auto"/>
            </w:tcBorders>
            <w:noWrap/>
            <w:hideMark/>
          </w:tcPr>
          <w:p w14:paraId="72092D2D" w14:textId="73B08E2A" w:rsidR="001178C0" w:rsidRPr="00D92E6D" w:rsidRDefault="001178C0">
            <w:pPr>
              <w:rPr>
                <w:sz w:val="20"/>
                <w:szCs w:val="18"/>
              </w:rPr>
            </w:pPr>
          </w:p>
        </w:tc>
        <w:tc>
          <w:tcPr>
            <w:tcW w:w="810" w:type="dxa"/>
            <w:vMerge/>
            <w:tcBorders>
              <w:bottom w:val="single" w:sz="4" w:space="0" w:color="auto"/>
            </w:tcBorders>
            <w:noWrap/>
            <w:hideMark/>
          </w:tcPr>
          <w:p w14:paraId="6516F8C1" w14:textId="37924D1C" w:rsidR="001178C0" w:rsidRPr="00D92E6D" w:rsidRDefault="001178C0">
            <w:pPr>
              <w:rPr>
                <w:sz w:val="20"/>
                <w:szCs w:val="18"/>
              </w:rPr>
            </w:pPr>
          </w:p>
        </w:tc>
        <w:tc>
          <w:tcPr>
            <w:tcW w:w="810" w:type="dxa"/>
            <w:vMerge/>
            <w:tcBorders>
              <w:bottom w:val="single" w:sz="4" w:space="0" w:color="auto"/>
            </w:tcBorders>
            <w:noWrap/>
            <w:hideMark/>
          </w:tcPr>
          <w:p w14:paraId="3D51E30C" w14:textId="3E41BB9A" w:rsidR="001178C0" w:rsidRPr="00D92E6D" w:rsidRDefault="001178C0">
            <w:pPr>
              <w:rPr>
                <w:sz w:val="20"/>
                <w:szCs w:val="18"/>
              </w:rPr>
            </w:pPr>
          </w:p>
        </w:tc>
        <w:tc>
          <w:tcPr>
            <w:tcW w:w="1258" w:type="dxa"/>
            <w:tcBorders>
              <w:bottom w:val="single" w:sz="4" w:space="0" w:color="auto"/>
            </w:tcBorders>
            <w:noWrap/>
            <w:vAlign w:val="bottom"/>
            <w:hideMark/>
          </w:tcPr>
          <w:p w14:paraId="09802286" w14:textId="77777777" w:rsidR="001178C0" w:rsidRPr="00D92E6D" w:rsidRDefault="001178C0" w:rsidP="00E9675C">
            <w:pPr>
              <w:jc w:val="center"/>
              <w:rPr>
                <w:sz w:val="20"/>
                <w:szCs w:val="18"/>
              </w:rPr>
            </w:pPr>
            <w:r w:rsidRPr="00D92E6D">
              <w:rPr>
                <w:sz w:val="20"/>
                <w:szCs w:val="18"/>
              </w:rPr>
              <w:t>Jan</w:t>
            </w:r>
          </w:p>
        </w:tc>
        <w:tc>
          <w:tcPr>
            <w:tcW w:w="1260" w:type="dxa"/>
            <w:tcBorders>
              <w:bottom w:val="single" w:sz="4" w:space="0" w:color="auto"/>
            </w:tcBorders>
            <w:noWrap/>
            <w:vAlign w:val="bottom"/>
            <w:hideMark/>
          </w:tcPr>
          <w:p w14:paraId="13B91605" w14:textId="77777777" w:rsidR="001178C0" w:rsidRPr="00D92E6D" w:rsidRDefault="001178C0" w:rsidP="00E9675C">
            <w:pPr>
              <w:jc w:val="center"/>
              <w:rPr>
                <w:sz w:val="20"/>
                <w:szCs w:val="18"/>
              </w:rPr>
            </w:pPr>
            <w:r w:rsidRPr="00D92E6D">
              <w:rPr>
                <w:sz w:val="20"/>
                <w:szCs w:val="18"/>
              </w:rPr>
              <w:t>July</w:t>
            </w:r>
          </w:p>
        </w:tc>
        <w:tc>
          <w:tcPr>
            <w:tcW w:w="1260" w:type="dxa"/>
            <w:tcBorders>
              <w:bottom w:val="single" w:sz="4" w:space="0" w:color="auto"/>
            </w:tcBorders>
            <w:noWrap/>
            <w:vAlign w:val="bottom"/>
            <w:hideMark/>
          </w:tcPr>
          <w:p w14:paraId="3E8E7F27" w14:textId="77777777" w:rsidR="001178C0" w:rsidRPr="00D92E6D" w:rsidRDefault="001178C0" w:rsidP="00E9675C">
            <w:pPr>
              <w:jc w:val="center"/>
              <w:rPr>
                <w:sz w:val="20"/>
                <w:szCs w:val="18"/>
              </w:rPr>
            </w:pPr>
            <w:r w:rsidRPr="00D92E6D">
              <w:rPr>
                <w:sz w:val="20"/>
                <w:szCs w:val="18"/>
              </w:rPr>
              <w:t>Jan</w:t>
            </w:r>
          </w:p>
        </w:tc>
        <w:tc>
          <w:tcPr>
            <w:tcW w:w="1260" w:type="dxa"/>
            <w:tcBorders>
              <w:bottom w:val="single" w:sz="4" w:space="0" w:color="auto"/>
            </w:tcBorders>
            <w:noWrap/>
            <w:vAlign w:val="bottom"/>
            <w:hideMark/>
          </w:tcPr>
          <w:p w14:paraId="7BB0E3FD" w14:textId="77777777" w:rsidR="001178C0" w:rsidRPr="00D92E6D" w:rsidRDefault="001178C0" w:rsidP="00E9675C">
            <w:pPr>
              <w:jc w:val="center"/>
              <w:rPr>
                <w:sz w:val="20"/>
                <w:szCs w:val="18"/>
              </w:rPr>
            </w:pPr>
            <w:r w:rsidRPr="00D92E6D">
              <w:rPr>
                <w:sz w:val="20"/>
                <w:szCs w:val="18"/>
              </w:rPr>
              <w:t>July</w:t>
            </w:r>
          </w:p>
        </w:tc>
        <w:tc>
          <w:tcPr>
            <w:tcW w:w="1260" w:type="dxa"/>
            <w:vMerge/>
            <w:tcBorders>
              <w:bottom w:val="single" w:sz="4" w:space="0" w:color="auto"/>
            </w:tcBorders>
            <w:noWrap/>
            <w:vAlign w:val="center"/>
            <w:hideMark/>
          </w:tcPr>
          <w:p w14:paraId="4C276588" w14:textId="220C97BA" w:rsidR="001178C0" w:rsidRPr="00D92E6D" w:rsidRDefault="001178C0" w:rsidP="001178C0">
            <w:pPr>
              <w:jc w:val="center"/>
              <w:rPr>
                <w:sz w:val="20"/>
                <w:szCs w:val="18"/>
              </w:rPr>
            </w:pPr>
          </w:p>
        </w:tc>
        <w:tc>
          <w:tcPr>
            <w:tcW w:w="992" w:type="dxa"/>
            <w:tcBorders>
              <w:bottom w:val="single" w:sz="4" w:space="0" w:color="auto"/>
            </w:tcBorders>
            <w:noWrap/>
            <w:vAlign w:val="bottom"/>
            <w:hideMark/>
          </w:tcPr>
          <w:p w14:paraId="1E6EFFBB" w14:textId="77777777" w:rsidR="001178C0" w:rsidRPr="00D92E6D" w:rsidRDefault="001178C0" w:rsidP="00E9675C">
            <w:pPr>
              <w:jc w:val="center"/>
              <w:rPr>
                <w:sz w:val="20"/>
                <w:szCs w:val="18"/>
              </w:rPr>
            </w:pPr>
            <w:r w:rsidRPr="00D92E6D">
              <w:rPr>
                <w:sz w:val="20"/>
                <w:szCs w:val="18"/>
              </w:rPr>
              <w:t>Disease</w:t>
            </w:r>
          </w:p>
        </w:tc>
        <w:tc>
          <w:tcPr>
            <w:tcW w:w="993" w:type="dxa"/>
            <w:tcBorders>
              <w:bottom w:val="single" w:sz="4" w:space="0" w:color="auto"/>
            </w:tcBorders>
            <w:noWrap/>
            <w:vAlign w:val="bottom"/>
            <w:hideMark/>
          </w:tcPr>
          <w:p w14:paraId="23555CF0" w14:textId="77777777" w:rsidR="001178C0" w:rsidRPr="00D92E6D" w:rsidRDefault="001178C0" w:rsidP="00E9675C">
            <w:pPr>
              <w:jc w:val="center"/>
              <w:rPr>
                <w:sz w:val="20"/>
                <w:szCs w:val="18"/>
              </w:rPr>
            </w:pPr>
            <w:r w:rsidRPr="00D92E6D">
              <w:rPr>
                <w:sz w:val="20"/>
                <w:szCs w:val="18"/>
              </w:rPr>
              <w:t>Healthy</w:t>
            </w:r>
          </w:p>
        </w:tc>
      </w:tr>
      <w:tr w:rsidR="00D92E6D" w:rsidRPr="00D92E6D" w14:paraId="4964E397" w14:textId="77777777" w:rsidTr="00CE1917">
        <w:tc>
          <w:tcPr>
            <w:tcW w:w="2070" w:type="dxa"/>
            <w:tcBorders>
              <w:top w:val="single" w:sz="4" w:space="0" w:color="auto"/>
            </w:tcBorders>
            <w:noWrap/>
            <w:vAlign w:val="center"/>
            <w:hideMark/>
          </w:tcPr>
          <w:p w14:paraId="1C57858D" w14:textId="77777777" w:rsidR="00D92E6D" w:rsidRPr="00D92E6D" w:rsidRDefault="00D92E6D" w:rsidP="00CE1917">
            <w:pPr>
              <w:rPr>
                <w:sz w:val="20"/>
                <w:szCs w:val="18"/>
              </w:rPr>
            </w:pPr>
            <w:r w:rsidRPr="00D92E6D">
              <w:rPr>
                <w:sz w:val="20"/>
                <w:szCs w:val="18"/>
              </w:rPr>
              <w:t>Arcobacteraceae</w:t>
            </w:r>
          </w:p>
        </w:tc>
        <w:tc>
          <w:tcPr>
            <w:tcW w:w="1388" w:type="dxa"/>
            <w:tcBorders>
              <w:top w:val="single" w:sz="4" w:space="0" w:color="auto"/>
            </w:tcBorders>
            <w:noWrap/>
            <w:vAlign w:val="center"/>
            <w:hideMark/>
          </w:tcPr>
          <w:p w14:paraId="64AB4312" w14:textId="77777777" w:rsidR="00D92E6D" w:rsidRPr="00D92E6D" w:rsidRDefault="00D92E6D" w:rsidP="00CE1917">
            <w:pPr>
              <w:rPr>
                <w:sz w:val="20"/>
                <w:szCs w:val="18"/>
              </w:rPr>
            </w:pPr>
            <w:r w:rsidRPr="00D92E6D">
              <w:rPr>
                <w:sz w:val="20"/>
                <w:szCs w:val="18"/>
              </w:rPr>
              <w:t>Malaciobacter</w:t>
            </w:r>
          </w:p>
        </w:tc>
        <w:tc>
          <w:tcPr>
            <w:tcW w:w="778" w:type="dxa"/>
            <w:tcBorders>
              <w:top w:val="single" w:sz="4" w:space="0" w:color="auto"/>
              <w:right w:val="single" w:sz="4" w:space="0" w:color="auto"/>
            </w:tcBorders>
            <w:noWrap/>
            <w:vAlign w:val="center"/>
            <w:hideMark/>
          </w:tcPr>
          <w:p w14:paraId="1938E302" w14:textId="77777777" w:rsidR="00D92E6D" w:rsidRPr="00D92E6D" w:rsidRDefault="00D92E6D" w:rsidP="00E9675C">
            <w:pPr>
              <w:rPr>
                <w:sz w:val="20"/>
                <w:szCs w:val="18"/>
              </w:rPr>
            </w:pPr>
            <w:r w:rsidRPr="00D92E6D">
              <w:rPr>
                <w:sz w:val="20"/>
                <w:szCs w:val="18"/>
              </w:rPr>
              <w:t>ASV7</w:t>
            </w:r>
          </w:p>
        </w:tc>
        <w:tc>
          <w:tcPr>
            <w:tcW w:w="810" w:type="dxa"/>
            <w:tcBorders>
              <w:top w:val="single" w:sz="4" w:space="0" w:color="auto"/>
              <w:left w:val="single" w:sz="4" w:space="0" w:color="auto"/>
            </w:tcBorders>
            <w:noWrap/>
            <w:vAlign w:val="center"/>
            <w:hideMark/>
          </w:tcPr>
          <w:p w14:paraId="3669728F" w14:textId="77777777" w:rsidR="00D92E6D" w:rsidRPr="00D92E6D" w:rsidRDefault="00D92E6D" w:rsidP="00E9675C">
            <w:pPr>
              <w:jc w:val="center"/>
              <w:rPr>
                <w:sz w:val="20"/>
                <w:szCs w:val="18"/>
              </w:rPr>
            </w:pPr>
            <w:r w:rsidRPr="00D92E6D">
              <w:rPr>
                <w:sz w:val="20"/>
                <w:szCs w:val="18"/>
              </w:rPr>
              <w:t>4.5</w:t>
            </w:r>
          </w:p>
        </w:tc>
        <w:tc>
          <w:tcPr>
            <w:tcW w:w="810" w:type="dxa"/>
            <w:tcBorders>
              <w:top w:val="single" w:sz="4" w:space="0" w:color="auto"/>
            </w:tcBorders>
            <w:noWrap/>
            <w:vAlign w:val="center"/>
            <w:hideMark/>
          </w:tcPr>
          <w:p w14:paraId="065C9F96" w14:textId="77777777" w:rsidR="00D92E6D" w:rsidRPr="00D92E6D" w:rsidRDefault="00D92E6D" w:rsidP="001178C0">
            <w:pPr>
              <w:jc w:val="center"/>
              <w:rPr>
                <w:sz w:val="20"/>
                <w:szCs w:val="18"/>
              </w:rPr>
            </w:pPr>
            <w:r w:rsidRPr="00D92E6D">
              <w:rPr>
                <w:sz w:val="20"/>
                <w:szCs w:val="18"/>
              </w:rPr>
              <w:t>0.022</w:t>
            </w:r>
          </w:p>
        </w:tc>
        <w:tc>
          <w:tcPr>
            <w:tcW w:w="1258" w:type="dxa"/>
            <w:tcBorders>
              <w:top w:val="single" w:sz="4" w:space="0" w:color="auto"/>
            </w:tcBorders>
            <w:noWrap/>
            <w:vAlign w:val="center"/>
            <w:hideMark/>
          </w:tcPr>
          <w:p w14:paraId="2A62E37C" w14:textId="30508619" w:rsidR="00D92E6D" w:rsidRPr="002F1671" w:rsidRDefault="00D92E6D" w:rsidP="001178C0">
            <w:pPr>
              <w:jc w:val="center"/>
              <w:rPr>
                <w:b/>
                <w:bCs/>
                <w:sz w:val="20"/>
                <w:szCs w:val="18"/>
              </w:rPr>
            </w:pPr>
            <w:r w:rsidRPr="002F1671">
              <w:rPr>
                <w:b/>
                <w:bCs/>
                <w:sz w:val="20"/>
                <w:szCs w:val="18"/>
              </w:rPr>
              <w:t>4.6 ± 0.66</w:t>
            </w:r>
          </w:p>
        </w:tc>
        <w:tc>
          <w:tcPr>
            <w:tcW w:w="1260" w:type="dxa"/>
            <w:tcBorders>
              <w:top w:val="single" w:sz="4" w:space="0" w:color="auto"/>
            </w:tcBorders>
            <w:noWrap/>
            <w:vAlign w:val="center"/>
            <w:hideMark/>
          </w:tcPr>
          <w:p w14:paraId="2EBDC30C" w14:textId="1C35304C" w:rsidR="00D92E6D" w:rsidRPr="002F1671" w:rsidRDefault="00D92E6D" w:rsidP="001178C0">
            <w:pPr>
              <w:jc w:val="center"/>
              <w:rPr>
                <w:b/>
                <w:bCs/>
                <w:sz w:val="20"/>
                <w:szCs w:val="18"/>
              </w:rPr>
            </w:pPr>
            <w:r w:rsidRPr="002F1671">
              <w:rPr>
                <w:b/>
                <w:bCs/>
                <w:sz w:val="20"/>
                <w:szCs w:val="18"/>
              </w:rPr>
              <w:t>7.9 ± 0.68</w:t>
            </w:r>
          </w:p>
        </w:tc>
        <w:tc>
          <w:tcPr>
            <w:tcW w:w="1260" w:type="dxa"/>
            <w:tcBorders>
              <w:top w:val="single" w:sz="4" w:space="0" w:color="auto"/>
            </w:tcBorders>
            <w:noWrap/>
            <w:vAlign w:val="center"/>
            <w:hideMark/>
          </w:tcPr>
          <w:p w14:paraId="40F06346" w14:textId="3F8A8477" w:rsidR="00D92E6D" w:rsidRPr="00A128A8" w:rsidRDefault="00D92E6D" w:rsidP="001178C0">
            <w:pPr>
              <w:jc w:val="center"/>
              <w:rPr>
                <w:b/>
                <w:bCs/>
                <w:sz w:val="20"/>
                <w:szCs w:val="18"/>
              </w:rPr>
            </w:pPr>
            <w:r w:rsidRPr="00A128A8">
              <w:rPr>
                <w:b/>
                <w:bCs/>
                <w:sz w:val="20"/>
                <w:szCs w:val="18"/>
              </w:rPr>
              <w:t>6.9 ± 0.69</w:t>
            </w:r>
          </w:p>
        </w:tc>
        <w:tc>
          <w:tcPr>
            <w:tcW w:w="1260" w:type="dxa"/>
            <w:tcBorders>
              <w:top w:val="single" w:sz="4" w:space="0" w:color="auto"/>
            </w:tcBorders>
            <w:noWrap/>
            <w:vAlign w:val="center"/>
            <w:hideMark/>
          </w:tcPr>
          <w:p w14:paraId="611D4BF2" w14:textId="40088D31" w:rsidR="00D92E6D" w:rsidRPr="00A128A8" w:rsidRDefault="00D92E6D" w:rsidP="001178C0">
            <w:pPr>
              <w:jc w:val="center"/>
              <w:rPr>
                <w:b/>
                <w:bCs/>
                <w:sz w:val="20"/>
                <w:szCs w:val="18"/>
              </w:rPr>
            </w:pPr>
            <w:r w:rsidRPr="00A128A8">
              <w:rPr>
                <w:b/>
                <w:bCs/>
                <w:sz w:val="20"/>
                <w:szCs w:val="18"/>
              </w:rPr>
              <w:t>4.7 ± 0.63</w:t>
            </w:r>
          </w:p>
        </w:tc>
        <w:tc>
          <w:tcPr>
            <w:tcW w:w="1260" w:type="dxa"/>
            <w:tcBorders>
              <w:top w:val="single" w:sz="4" w:space="0" w:color="auto"/>
            </w:tcBorders>
            <w:noWrap/>
            <w:vAlign w:val="center"/>
            <w:hideMark/>
          </w:tcPr>
          <w:p w14:paraId="3BF762BF" w14:textId="77777777" w:rsidR="00D92E6D" w:rsidRPr="002F1671" w:rsidRDefault="00D92E6D" w:rsidP="001178C0">
            <w:pPr>
              <w:jc w:val="center"/>
              <w:rPr>
                <w:sz w:val="20"/>
                <w:szCs w:val="18"/>
              </w:rPr>
            </w:pPr>
            <w:r w:rsidRPr="002F1671">
              <w:rPr>
                <w:sz w:val="20"/>
                <w:szCs w:val="18"/>
              </w:rPr>
              <w:t>0.1 ± 0.46</w:t>
            </w:r>
          </w:p>
        </w:tc>
        <w:tc>
          <w:tcPr>
            <w:tcW w:w="992" w:type="dxa"/>
            <w:tcBorders>
              <w:top w:val="single" w:sz="4" w:space="0" w:color="auto"/>
            </w:tcBorders>
            <w:noWrap/>
            <w:vAlign w:val="center"/>
            <w:hideMark/>
          </w:tcPr>
          <w:p w14:paraId="1C941F71" w14:textId="77777777" w:rsidR="00D92E6D" w:rsidRPr="002F1671" w:rsidRDefault="00D92E6D" w:rsidP="001178C0">
            <w:pPr>
              <w:jc w:val="center"/>
              <w:rPr>
                <w:sz w:val="20"/>
                <w:szCs w:val="18"/>
              </w:rPr>
            </w:pPr>
            <w:r w:rsidRPr="002F1671">
              <w:rPr>
                <w:sz w:val="20"/>
                <w:szCs w:val="18"/>
              </w:rPr>
              <w:t>0 ± 0.37</w:t>
            </w:r>
          </w:p>
        </w:tc>
        <w:tc>
          <w:tcPr>
            <w:tcW w:w="993" w:type="dxa"/>
            <w:tcBorders>
              <w:top w:val="single" w:sz="4" w:space="0" w:color="auto"/>
            </w:tcBorders>
            <w:noWrap/>
            <w:vAlign w:val="center"/>
            <w:hideMark/>
          </w:tcPr>
          <w:p w14:paraId="7986F4A9" w14:textId="77777777" w:rsidR="00D92E6D" w:rsidRPr="002F1671" w:rsidRDefault="00D92E6D" w:rsidP="001178C0">
            <w:pPr>
              <w:jc w:val="center"/>
              <w:rPr>
                <w:sz w:val="20"/>
                <w:szCs w:val="18"/>
              </w:rPr>
            </w:pPr>
            <w:r w:rsidRPr="002F1671">
              <w:rPr>
                <w:sz w:val="20"/>
                <w:szCs w:val="18"/>
              </w:rPr>
              <w:t>-0.5 ± 0.37</w:t>
            </w:r>
          </w:p>
        </w:tc>
      </w:tr>
      <w:tr w:rsidR="00D92E6D" w:rsidRPr="00D92E6D" w14:paraId="4413669F" w14:textId="77777777" w:rsidTr="00CE1917">
        <w:tc>
          <w:tcPr>
            <w:tcW w:w="2070" w:type="dxa"/>
            <w:noWrap/>
            <w:vAlign w:val="center"/>
            <w:hideMark/>
          </w:tcPr>
          <w:p w14:paraId="3E7BFCC9" w14:textId="77777777" w:rsidR="00D92E6D" w:rsidRPr="00D92E6D" w:rsidRDefault="00D92E6D" w:rsidP="00CE1917">
            <w:pPr>
              <w:rPr>
                <w:sz w:val="20"/>
                <w:szCs w:val="18"/>
              </w:rPr>
            </w:pPr>
            <w:r w:rsidRPr="00D92E6D">
              <w:rPr>
                <w:sz w:val="20"/>
                <w:szCs w:val="18"/>
              </w:rPr>
              <w:t>Rhodobacteraceae</w:t>
            </w:r>
          </w:p>
        </w:tc>
        <w:tc>
          <w:tcPr>
            <w:tcW w:w="1388" w:type="dxa"/>
            <w:noWrap/>
            <w:vAlign w:val="center"/>
            <w:hideMark/>
          </w:tcPr>
          <w:p w14:paraId="359D7832" w14:textId="77777777" w:rsidR="00D92E6D" w:rsidRPr="00D92E6D" w:rsidRDefault="00D92E6D" w:rsidP="00CE1917">
            <w:pPr>
              <w:rPr>
                <w:sz w:val="20"/>
                <w:szCs w:val="18"/>
              </w:rPr>
            </w:pPr>
          </w:p>
        </w:tc>
        <w:tc>
          <w:tcPr>
            <w:tcW w:w="778" w:type="dxa"/>
            <w:tcBorders>
              <w:right w:val="single" w:sz="4" w:space="0" w:color="auto"/>
            </w:tcBorders>
            <w:noWrap/>
            <w:vAlign w:val="center"/>
            <w:hideMark/>
          </w:tcPr>
          <w:p w14:paraId="7518F372" w14:textId="77777777" w:rsidR="00D92E6D" w:rsidRPr="00D92E6D" w:rsidRDefault="00D92E6D" w:rsidP="00E9675C">
            <w:pPr>
              <w:rPr>
                <w:sz w:val="20"/>
                <w:szCs w:val="18"/>
              </w:rPr>
            </w:pPr>
            <w:r w:rsidRPr="00D92E6D">
              <w:rPr>
                <w:sz w:val="20"/>
                <w:szCs w:val="18"/>
              </w:rPr>
              <w:t>ASV15</w:t>
            </w:r>
          </w:p>
        </w:tc>
        <w:tc>
          <w:tcPr>
            <w:tcW w:w="810" w:type="dxa"/>
            <w:tcBorders>
              <w:left w:val="single" w:sz="4" w:space="0" w:color="auto"/>
            </w:tcBorders>
            <w:noWrap/>
            <w:vAlign w:val="center"/>
            <w:hideMark/>
          </w:tcPr>
          <w:p w14:paraId="59406216" w14:textId="77777777" w:rsidR="00D92E6D" w:rsidRPr="00D92E6D" w:rsidRDefault="00D92E6D" w:rsidP="00E9675C">
            <w:pPr>
              <w:jc w:val="center"/>
              <w:rPr>
                <w:sz w:val="20"/>
                <w:szCs w:val="18"/>
              </w:rPr>
            </w:pPr>
            <w:r w:rsidRPr="00D92E6D">
              <w:rPr>
                <w:sz w:val="20"/>
                <w:szCs w:val="18"/>
              </w:rPr>
              <w:t>16.5</w:t>
            </w:r>
          </w:p>
        </w:tc>
        <w:tc>
          <w:tcPr>
            <w:tcW w:w="810" w:type="dxa"/>
            <w:noWrap/>
            <w:vAlign w:val="center"/>
            <w:hideMark/>
          </w:tcPr>
          <w:p w14:paraId="15FFC1A2" w14:textId="77777777" w:rsidR="00D92E6D" w:rsidRPr="00D92E6D" w:rsidRDefault="00D92E6D" w:rsidP="001178C0">
            <w:pPr>
              <w:jc w:val="center"/>
              <w:rPr>
                <w:sz w:val="20"/>
                <w:szCs w:val="18"/>
              </w:rPr>
            </w:pPr>
            <w:r w:rsidRPr="00D92E6D">
              <w:rPr>
                <w:sz w:val="20"/>
                <w:szCs w:val="18"/>
              </w:rPr>
              <w:t>0.028</w:t>
            </w:r>
          </w:p>
        </w:tc>
        <w:tc>
          <w:tcPr>
            <w:tcW w:w="1258" w:type="dxa"/>
            <w:noWrap/>
            <w:vAlign w:val="center"/>
            <w:hideMark/>
          </w:tcPr>
          <w:p w14:paraId="0FB41CF3" w14:textId="77777777" w:rsidR="00D92E6D" w:rsidRPr="002F1671" w:rsidRDefault="00D92E6D" w:rsidP="001178C0">
            <w:pPr>
              <w:jc w:val="center"/>
              <w:rPr>
                <w:sz w:val="20"/>
                <w:szCs w:val="18"/>
              </w:rPr>
            </w:pPr>
            <w:r w:rsidRPr="002F1671">
              <w:rPr>
                <w:sz w:val="20"/>
                <w:szCs w:val="18"/>
              </w:rPr>
              <w:t>1 ± 0.54</w:t>
            </w:r>
          </w:p>
        </w:tc>
        <w:tc>
          <w:tcPr>
            <w:tcW w:w="1260" w:type="dxa"/>
            <w:noWrap/>
            <w:vAlign w:val="center"/>
            <w:hideMark/>
          </w:tcPr>
          <w:p w14:paraId="0BC7597E" w14:textId="231D60FA" w:rsidR="00D92E6D" w:rsidRPr="002F1671" w:rsidRDefault="00D92E6D" w:rsidP="001178C0">
            <w:pPr>
              <w:jc w:val="center"/>
              <w:rPr>
                <w:b/>
                <w:bCs/>
                <w:sz w:val="20"/>
                <w:szCs w:val="18"/>
              </w:rPr>
            </w:pPr>
            <w:r w:rsidRPr="002F1671">
              <w:rPr>
                <w:b/>
                <w:bCs/>
                <w:sz w:val="20"/>
                <w:szCs w:val="18"/>
              </w:rPr>
              <w:t>4.6 ± 0.56</w:t>
            </w:r>
          </w:p>
        </w:tc>
        <w:tc>
          <w:tcPr>
            <w:tcW w:w="1260" w:type="dxa"/>
            <w:noWrap/>
            <w:vAlign w:val="center"/>
            <w:hideMark/>
          </w:tcPr>
          <w:p w14:paraId="79C0E7A0" w14:textId="391E17EF" w:rsidR="00D92E6D" w:rsidRPr="00A128A8" w:rsidRDefault="00D92E6D" w:rsidP="001178C0">
            <w:pPr>
              <w:jc w:val="center"/>
              <w:rPr>
                <w:b/>
                <w:bCs/>
                <w:sz w:val="20"/>
                <w:szCs w:val="18"/>
              </w:rPr>
            </w:pPr>
            <w:r w:rsidRPr="00A128A8">
              <w:rPr>
                <w:b/>
                <w:bCs/>
                <w:sz w:val="20"/>
                <w:szCs w:val="18"/>
              </w:rPr>
              <w:t>5.2 ± 0.56</w:t>
            </w:r>
          </w:p>
        </w:tc>
        <w:tc>
          <w:tcPr>
            <w:tcW w:w="1260" w:type="dxa"/>
            <w:noWrap/>
            <w:vAlign w:val="center"/>
            <w:hideMark/>
          </w:tcPr>
          <w:p w14:paraId="7882CF72" w14:textId="5288FFBE" w:rsidR="00D92E6D" w:rsidRPr="00A128A8" w:rsidRDefault="00D92E6D" w:rsidP="001178C0">
            <w:pPr>
              <w:jc w:val="center"/>
              <w:rPr>
                <w:b/>
                <w:bCs/>
                <w:sz w:val="20"/>
                <w:szCs w:val="18"/>
              </w:rPr>
            </w:pPr>
            <w:r w:rsidRPr="00A128A8">
              <w:rPr>
                <w:b/>
                <w:bCs/>
                <w:sz w:val="20"/>
                <w:szCs w:val="18"/>
              </w:rPr>
              <w:t>1.1 ± 0.51</w:t>
            </w:r>
          </w:p>
        </w:tc>
        <w:tc>
          <w:tcPr>
            <w:tcW w:w="1260" w:type="dxa"/>
            <w:noWrap/>
            <w:vAlign w:val="center"/>
            <w:hideMark/>
          </w:tcPr>
          <w:p w14:paraId="4D5D3F06" w14:textId="77777777" w:rsidR="00D92E6D" w:rsidRPr="002F1671" w:rsidRDefault="00D92E6D" w:rsidP="001178C0">
            <w:pPr>
              <w:jc w:val="center"/>
              <w:rPr>
                <w:sz w:val="20"/>
                <w:szCs w:val="18"/>
              </w:rPr>
            </w:pPr>
            <w:r w:rsidRPr="002F1671">
              <w:rPr>
                <w:sz w:val="20"/>
                <w:szCs w:val="18"/>
              </w:rPr>
              <w:t>0.1 ± 0.62</w:t>
            </w:r>
          </w:p>
        </w:tc>
        <w:tc>
          <w:tcPr>
            <w:tcW w:w="992" w:type="dxa"/>
            <w:noWrap/>
            <w:vAlign w:val="center"/>
            <w:hideMark/>
          </w:tcPr>
          <w:p w14:paraId="0D47B7B4" w14:textId="77777777" w:rsidR="00D92E6D" w:rsidRPr="002F1671" w:rsidRDefault="00D92E6D" w:rsidP="001178C0">
            <w:pPr>
              <w:jc w:val="center"/>
              <w:rPr>
                <w:sz w:val="20"/>
                <w:szCs w:val="18"/>
              </w:rPr>
            </w:pPr>
            <w:r w:rsidRPr="002F1671">
              <w:rPr>
                <w:sz w:val="20"/>
                <w:szCs w:val="18"/>
              </w:rPr>
              <w:t>-0.2 ± 0.47</w:t>
            </w:r>
          </w:p>
        </w:tc>
        <w:tc>
          <w:tcPr>
            <w:tcW w:w="993" w:type="dxa"/>
            <w:noWrap/>
            <w:vAlign w:val="center"/>
            <w:hideMark/>
          </w:tcPr>
          <w:p w14:paraId="135F24CC" w14:textId="77777777" w:rsidR="00D92E6D" w:rsidRPr="002F1671" w:rsidRDefault="00D92E6D" w:rsidP="001178C0">
            <w:pPr>
              <w:jc w:val="center"/>
              <w:rPr>
                <w:sz w:val="20"/>
                <w:szCs w:val="18"/>
              </w:rPr>
            </w:pPr>
            <w:r w:rsidRPr="002F1671">
              <w:rPr>
                <w:sz w:val="20"/>
                <w:szCs w:val="18"/>
              </w:rPr>
              <w:t>0.2 ± 0.48</w:t>
            </w:r>
          </w:p>
        </w:tc>
      </w:tr>
      <w:tr w:rsidR="00D92E6D" w:rsidRPr="00D92E6D" w14:paraId="460E833F" w14:textId="77777777" w:rsidTr="00CE1917">
        <w:tc>
          <w:tcPr>
            <w:tcW w:w="2070" w:type="dxa"/>
            <w:noWrap/>
            <w:vAlign w:val="center"/>
            <w:hideMark/>
          </w:tcPr>
          <w:p w14:paraId="3754CAAA" w14:textId="77777777" w:rsidR="00D92E6D" w:rsidRPr="00D92E6D" w:rsidRDefault="00D92E6D" w:rsidP="00CE1917">
            <w:pPr>
              <w:rPr>
                <w:sz w:val="20"/>
                <w:szCs w:val="18"/>
              </w:rPr>
            </w:pPr>
            <w:r w:rsidRPr="00D92E6D">
              <w:rPr>
                <w:sz w:val="20"/>
                <w:szCs w:val="18"/>
              </w:rPr>
              <w:t>Sphingomonadaceae</w:t>
            </w:r>
          </w:p>
        </w:tc>
        <w:tc>
          <w:tcPr>
            <w:tcW w:w="1388" w:type="dxa"/>
            <w:noWrap/>
            <w:vAlign w:val="center"/>
            <w:hideMark/>
          </w:tcPr>
          <w:p w14:paraId="4AEF9A9F" w14:textId="77777777" w:rsidR="00D92E6D" w:rsidRPr="00D92E6D" w:rsidRDefault="00D92E6D" w:rsidP="00CE1917">
            <w:pPr>
              <w:rPr>
                <w:sz w:val="20"/>
                <w:szCs w:val="18"/>
              </w:rPr>
            </w:pPr>
          </w:p>
        </w:tc>
        <w:tc>
          <w:tcPr>
            <w:tcW w:w="778" w:type="dxa"/>
            <w:tcBorders>
              <w:right w:val="single" w:sz="4" w:space="0" w:color="auto"/>
            </w:tcBorders>
            <w:noWrap/>
            <w:vAlign w:val="center"/>
            <w:hideMark/>
          </w:tcPr>
          <w:p w14:paraId="650BAECF" w14:textId="77777777" w:rsidR="00D92E6D" w:rsidRPr="00D92E6D" w:rsidRDefault="00D92E6D" w:rsidP="00E9675C">
            <w:pPr>
              <w:rPr>
                <w:sz w:val="20"/>
                <w:szCs w:val="18"/>
              </w:rPr>
            </w:pPr>
            <w:r w:rsidRPr="00D92E6D">
              <w:rPr>
                <w:sz w:val="20"/>
                <w:szCs w:val="18"/>
              </w:rPr>
              <w:t>ASV40</w:t>
            </w:r>
          </w:p>
        </w:tc>
        <w:tc>
          <w:tcPr>
            <w:tcW w:w="810" w:type="dxa"/>
            <w:tcBorders>
              <w:left w:val="single" w:sz="4" w:space="0" w:color="auto"/>
            </w:tcBorders>
            <w:noWrap/>
            <w:vAlign w:val="center"/>
            <w:hideMark/>
          </w:tcPr>
          <w:p w14:paraId="0C3E2E5E" w14:textId="77777777" w:rsidR="00D92E6D" w:rsidRPr="00D92E6D" w:rsidRDefault="00D92E6D" w:rsidP="00E9675C">
            <w:pPr>
              <w:jc w:val="center"/>
              <w:rPr>
                <w:sz w:val="20"/>
                <w:szCs w:val="18"/>
              </w:rPr>
            </w:pPr>
            <w:r w:rsidRPr="00D92E6D">
              <w:rPr>
                <w:sz w:val="20"/>
                <w:szCs w:val="18"/>
              </w:rPr>
              <w:t>11</w:t>
            </w:r>
          </w:p>
        </w:tc>
        <w:tc>
          <w:tcPr>
            <w:tcW w:w="810" w:type="dxa"/>
            <w:noWrap/>
            <w:vAlign w:val="center"/>
            <w:hideMark/>
          </w:tcPr>
          <w:p w14:paraId="48858698"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458942C5" w14:textId="6CC806A5" w:rsidR="00D92E6D" w:rsidRPr="002F1671" w:rsidRDefault="00D92E6D" w:rsidP="001178C0">
            <w:pPr>
              <w:jc w:val="center"/>
              <w:rPr>
                <w:b/>
                <w:bCs/>
                <w:sz w:val="20"/>
                <w:szCs w:val="18"/>
              </w:rPr>
            </w:pPr>
            <w:r w:rsidRPr="002F1671">
              <w:rPr>
                <w:b/>
                <w:bCs/>
                <w:sz w:val="20"/>
                <w:szCs w:val="18"/>
              </w:rPr>
              <w:t>-4.3 ± 0.45</w:t>
            </w:r>
          </w:p>
        </w:tc>
        <w:tc>
          <w:tcPr>
            <w:tcW w:w="1260" w:type="dxa"/>
            <w:noWrap/>
            <w:vAlign w:val="center"/>
            <w:hideMark/>
          </w:tcPr>
          <w:p w14:paraId="3DD35955" w14:textId="50B3D3FD" w:rsidR="00D92E6D" w:rsidRPr="002F1671" w:rsidRDefault="00D92E6D" w:rsidP="001178C0">
            <w:pPr>
              <w:jc w:val="center"/>
              <w:rPr>
                <w:b/>
                <w:bCs/>
                <w:sz w:val="20"/>
                <w:szCs w:val="18"/>
              </w:rPr>
            </w:pPr>
            <w:r w:rsidRPr="002F1671">
              <w:rPr>
                <w:b/>
                <w:bCs/>
                <w:sz w:val="20"/>
                <w:szCs w:val="18"/>
              </w:rPr>
              <w:t>-3.1 ± 0.47</w:t>
            </w:r>
          </w:p>
        </w:tc>
        <w:tc>
          <w:tcPr>
            <w:tcW w:w="1260" w:type="dxa"/>
            <w:noWrap/>
            <w:vAlign w:val="center"/>
            <w:hideMark/>
          </w:tcPr>
          <w:p w14:paraId="7016DC94" w14:textId="1DD8680E" w:rsidR="00D92E6D" w:rsidRPr="00A128A8" w:rsidRDefault="00D92E6D" w:rsidP="001178C0">
            <w:pPr>
              <w:jc w:val="center"/>
              <w:rPr>
                <w:b/>
                <w:bCs/>
                <w:sz w:val="20"/>
                <w:szCs w:val="18"/>
              </w:rPr>
            </w:pPr>
            <w:r w:rsidRPr="00A128A8">
              <w:rPr>
                <w:b/>
                <w:bCs/>
                <w:sz w:val="20"/>
                <w:szCs w:val="18"/>
              </w:rPr>
              <w:t>-1.6 ± 0.47</w:t>
            </w:r>
          </w:p>
        </w:tc>
        <w:tc>
          <w:tcPr>
            <w:tcW w:w="1260" w:type="dxa"/>
            <w:noWrap/>
            <w:vAlign w:val="center"/>
            <w:hideMark/>
          </w:tcPr>
          <w:p w14:paraId="38191DA4" w14:textId="121C9E15" w:rsidR="00D92E6D" w:rsidRPr="00A128A8" w:rsidRDefault="00D92E6D" w:rsidP="001178C0">
            <w:pPr>
              <w:jc w:val="center"/>
              <w:rPr>
                <w:b/>
                <w:bCs/>
                <w:sz w:val="20"/>
                <w:szCs w:val="18"/>
              </w:rPr>
            </w:pPr>
            <w:r w:rsidRPr="00A128A8">
              <w:rPr>
                <w:b/>
                <w:bCs/>
                <w:sz w:val="20"/>
                <w:szCs w:val="18"/>
              </w:rPr>
              <w:t>-4.3 ± 0.43</w:t>
            </w:r>
          </w:p>
        </w:tc>
        <w:tc>
          <w:tcPr>
            <w:tcW w:w="1260" w:type="dxa"/>
            <w:noWrap/>
            <w:vAlign w:val="center"/>
            <w:hideMark/>
          </w:tcPr>
          <w:p w14:paraId="3692EA6E" w14:textId="77777777" w:rsidR="00D92E6D" w:rsidRPr="00A128A8" w:rsidRDefault="00D92E6D" w:rsidP="001178C0">
            <w:pPr>
              <w:jc w:val="center"/>
              <w:rPr>
                <w:b/>
                <w:bCs/>
                <w:sz w:val="20"/>
                <w:szCs w:val="18"/>
              </w:rPr>
            </w:pPr>
            <w:r w:rsidRPr="00A128A8">
              <w:rPr>
                <w:b/>
                <w:bCs/>
                <w:sz w:val="20"/>
                <w:szCs w:val="18"/>
              </w:rPr>
              <w:t>2.7 ± 0.98</w:t>
            </w:r>
          </w:p>
        </w:tc>
        <w:tc>
          <w:tcPr>
            <w:tcW w:w="992" w:type="dxa"/>
            <w:noWrap/>
            <w:vAlign w:val="center"/>
            <w:hideMark/>
          </w:tcPr>
          <w:p w14:paraId="3D384D3C" w14:textId="77777777" w:rsidR="00D92E6D" w:rsidRPr="002F1671" w:rsidRDefault="00D92E6D" w:rsidP="001178C0">
            <w:pPr>
              <w:jc w:val="center"/>
              <w:rPr>
                <w:sz w:val="20"/>
                <w:szCs w:val="18"/>
              </w:rPr>
            </w:pPr>
            <w:r w:rsidRPr="002F1671">
              <w:rPr>
                <w:sz w:val="20"/>
                <w:szCs w:val="18"/>
              </w:rPr>
              <w:t>0.5 ± 0.8</w:t>
            </w:r>
          </w:p>
        </w:tc>
        <w:tc>
          <w:tcPr>
            <w:tcW w:w="993" w:type="dxa"/>
            <w:noWrap/>
            <w:vAlign w:val="center"/>
            <w:hideMark/>
          </w:tcPr>
          <w:p w14:paraId="33F7D761" w14:textId="77777777" w:rsidR="00D92E6D" w:rsidRPr="002F1671" w:rsidRDefault="00D92E6D" w:rsidP="001178C0">
            <w:pPr>
              <w:jc w:val="center"/>
              <w:rPr>
                <w:sz w:val="20"/>
                <w:szCs w:val="18"/>
              </w:rPr>
            </w:pPr>
            <w:r w:rsidRPr="002F1671">
              <w:rPr>
                <w:sz w:val="20"/>
                <w:szCs w:val="18"/>
              </w:rPr>
              <w:t>-0.9 ± 0.81</w:t>
            </w:r>
          </w:p>
        </w:tc>
      </w:tr>
      <w:tr w:rsidR="00D92E6D" w:rsidRPr="00D92E6D" w14:paraId="119E3E59" w14:textId="77777777" w:rsidTr="00CE1917">
        <w:tc>
          <w:tcPr>
            <w:tcW w:w="2070" w:type="dxa"/>
            <w:noWrap/>
            <w:vAlign w:val="center"/>
            <w:hideMark/>
          </w:tcPr>
          <w:p w14:paraId="35CDEE04" w14:textId="77777777" w:rsidR="00D92E6D" w:rsidRPr="00D92E6D" w:rsidRDefault="00D92E6D" w:rsidP="00CE1917">
            <w:pPr>
              <w:rPr>
                <w:sz w:val="20"/>
                <w:szCs w:val="18"/>
              </w:rPr>
            </w:pPr>
            <w:r w:rsidRPr="00D92E6D">
              <w:rPr>
                <w:sz w:val="20"/>
                <w:szCs w:val="18"/>
              </w:rPr>
              <w:t>Colwelliaceae</w:t>
            </w:r>
          </w:p>
        </w:tc>
        <w:tc>
          <w:tcPr>
            <w:tcW w:w="1388" w:type="dxa"/>
            <w:noWrap/>
            <w:vAlign w:val="center"/>
            <w:hideMark/>
          </w:tcPr>
          <w:p w14:paraId="3830D909" w14:textId="77777777" w:rsidR="00D92E6D" w:rsidRPr="00D92E6D" w:rsidRDefault="00D92E6D" w:rsidP="00CE1917">
            <w:pPr>
              <w:rPr>
                <w:sz w:val="20"/>
                <w:szCs w:val="18"/>
              </w:rPr>
            </w:pPr>
            <w:r w:rsidRPr="00D92E6D">
              <w:rPr>
                <w:sz w:val="20"/>
                <w:szCs w:val="18"/>
              </w:rPr>
              <w:t>Thalassotalea</w:t>
            </w:r>
          </w:p>
        </w:tc>
        <w:tc>
          <w:tcPr>
            <w:tcW w:w="778" w:type="dxa"/>
            <w:tcBorders>
              <w:right w:val="single" w:sz="4" w:space="0" w:color="auto"/>
            </w:tcBorders>
            <w:noWrap/>
            <w:vAlign w:val="center"/>
            <w:hideMark/>
          </w:tcPr>
          <w:p w14:paraId="4502EFFB" w14:textId="77777777" w:rsidR="00D92E6D" w:rsidRPr="00D92E6D" w:rsidRDefault="00D92E6D" w:rsidP="00E9675C">
            <w:pPr>
              <w:rPr>
                <w:sz w:val="20"/>
                <w:szCs w:val="18"/>
              </w:rPr>
            </w:pPr>
            <w:r w:rsidRPr="00D92E6D">
              <w:rPr>
                <w:sz w:val="20"/>
                <w:szCs w:val="18"/>
              </w:rPr>
              <w:t>ASV30</w:t>
            </w:r>
          </w:p>
        </w:tc>
        <w:tc>
          <w:tcPr>
            <w:tcW w:w="810" w:type="dxa"/>
            <w:tcBorders>
              <w:left w:val="single" w:sz="4" w:space="0" w:color="auto"/>
            </w:tcBorders>
            <w:noWrap/>
            <w:vAlign w:val="center"/>
            <w:hideMark/>
          </w:tcPr>
          <w:p w14:paraId="1CBD557D" w14:textId="77777777" w:rsidR="00D92E6D" w:rsidRPr="00D92E6D" w:rsidRDefault="00D92E6D" w:rsidP="00E9675C">
            <w:pPr>
              <w:jc w:val="center"/>
              <w:rPr>
                <w:sz w:val="20"/>
                <w:szCs w:val="18"/>
              </w:rPr>
            </w:pPr>
            <w:r w:rsidRPr="00D92E6D">
              <w:rPr>
                <w:sz w:val="20"/>
                <w:szCs w:val="18"/>
              </w:rPr>
              <w:t>6</w:t>
            </w:r>
          </w:p>
        </w:tc>
        <w:tc>
          <w:tcPr>
            <w:tcW w:w="810" w:type="dxa"/>
            <w:noWrap/>
            <w:vAlign w:val="center"/>
            <w:hideMark/>
          </w:tcPr>
          <w:p w14:paraId="26856611"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66A962DB" w14:textId="6EE9398F" w:rsidR="00D92E6D" w:rsidRPr="002F1671" w:rsidRDefault="00D92E6D" w:rsidP="001178C0">
            <w:pPr>
              <w:jc w:val="center"/>
              <w:rPr>
                <w:b/>
                <w:bCs/>
                <w:sz w:val="20"/>
                <w:szCs w:val="18"/>
              </w:rPr>
            </w:pPr>
            <w:r w:rsidRPr="002F1671">
              <w:rPr>
                <w:b/>
                <w:bCs/>
                <w:sz w:val="20"/>
                <w:szCs w:val="18"/>
              </w:rPr>
              <w:t>3.9 ± 0.54</w:t>
            </w:r>
          </w:p>
        </w:tc>
        <w:tc>
          <w:tcPr>
            <w:tcW w:w="1260" w:type="dxa"/>
            <w:noWrap/>
            <w:vAlign w:val="center"/>
            <w:hideMark/>
          </w:tcPr>
          <w:p w14:paraId="0B424CBE" w14:textId="04520A0E" w:rsidR="00D92E6D" w:rsidRPr="002F1671" w:rsidRDefault="00D92E6D" w:rsidP="001178C0">
            <w:pPr>
              <w:jc w:val="center"/>
              <w:rPr>
                <w:b/>
                <w:bCs/>
                <w:sz w:val="20"/>
                <w:szCs w:val="18"/>
              </w:rPr>
            </w:pPr>
            <w:r w:rsidRPr="002F1671">
              <w:rPr>
                <w:b/>
                <w:bCs/>
                <w:sz w:val="20"/>
                <w:szCs w:val="18"/>
              </w:rPr>
              <w:t>4.6 ± 0.56</w:t>
            </w:r>
          </w:p>
        </w:tc>
        <w:tc>
          <w:tcPr>
            <w:tcW w:w="1260" w:type="dxa"/>
            <w:noWrap/>
            <w:vAlign w:val="center"/>
            <w:hideMark/>
          </w:tcPr>
          <w:p w14:paraId="0986DF0E" w14:textId="5A586C2A" w:rsidR="00D92E6D" w:rsidRPr="00A128A8" w:rsidRDefault="00D92E6D" w:rsidP="001178C0">
            <w:pPr>
              <w:jc w:val="center"/>
              <w:rPr>
                <w:b/>
                <w:bCs/>
                <w:sz w:val="20"/>
                <w:szCs w:val="18"/>
              </w:rPr>
            </w:pPr>
            <w:r w:rsidRPr="00A128A8">
              <w:rPr>
                <w:b/>
                <w:bCs/>
                <w:sz w:val="20"/>
                <w:szCs w:val="18"/>
              </w:rPr>
              <w:t>3.7 ± 0.56</w:t>
            </w:r>
          </w:p>
        </w:tc>
        <w:tc>
          <w:tcPr>
            <w:tcW w:w="1260" w:type="dxa"/>
            <w:noWrap/>
            <w:vAlign w:val="center"/>
            <w:hideMark/>
          </w:tcPr>
          <w:p w14:paraId="1627E13F" w14:textId="0D3A6020" w:rsidR="00D92E6D" w:rsidRPr="00A128A8" w:rsidRDefault="00D92E6D" w:rsidP="001178C0">
            <w:pPr>
              <w:jc w:val="center"/>
              <w:rPr>
                <w:b/>
                <w:bCs/>
                <w:sz w:val="20"/>
                <w:szCs w:val="18"/>
              </w:rPr>
            </w:pPr>
            <w:r w:rsidRPr="00A128A8">
              <w:rPr>
                <w:b/>
                <w:bCs/>
                <w:sz w:val="20"/>
                <w:szCs w:val="18"/>
              </w:rPr>
              <w:t>4.6 ± 0.51</w:t>
            </w:r>
          </w:p>
        </w:tc>
        <w:tc>
          <w:tcPr>
            <w:tcW w:w="1260" w:type="dxa"/>
            <w:noWrap/>
            <w:vAlign w:val="center"/>
            <w:hideMark/>
          </w:tcPr>
          <w:p w14:paraId="12F8FA77" w14:textId="77777777" w:rsidR="00D92E6D" w:rsidRPr="002F1671" w:rsidRDefault="00D92E6D" w:rsidP="001178C0">
            <w:pPr>
              <w:jc w:val="center"/>
              <w:rPr>
                <w:sz w:val="20"/>
                <w:szCs w:val="18"/>
              </w:rPr>
            </w:pPr>
            <w:r w:rsidRPr="002F1671">
              <w:rPr>
                <w:sz w:val="20"/>
                <w:szCs w:val="18"/>
              </w:rPr>
              <w:t>-0.4 ± 1.02</w:t>
            </w:r>
          </w:p>
        </w:tc>
        <w:tc>
          <w:tcPr>
            <w:tcW w:w="992" w:type="dxa"/>
            <w:noWrap/>
            <w:vAlign w:val="center"/>
            <w:hideMark/>
          </w:tcPr>
          <w:p w14:paraId="74AD7321" w14:textId="77777777" w:rsidR="00D92E6D" w:rsidRPr="002F1671" w:rsidRDefault="00D92E6D" w:rsidP="001178C0">
            <w:pPr>
              <w:jc w:val="center"/>
              <w:rPr>
                <w:sz w:val="20"/>
                <w:szCs w:val="18"/>
              </w:rPr>
            </w:pPr>
            <w:r w:rsidRPr="002F1671">
              <w:rPr>
                <w:sz w:val="20"/>
                <w:szCs w:val="18"/>
              </w:rPr>
              <w:t>1.2 ± 0.76</w:t>
            </w:r>
          </w:p>
        </w:tc>
        <w:tc>
          <w:tcPr>
            <w:tcW w:w="993" w:type="dxa"/>
            <w:noWrap/>
            <w:vAlign w:val="center"/>
            <w:hideMark/>
          </w:tcPr>
          <w:p w14:paraId="3D26B944" w14:textId="77777777" w:rsidR="00D92E6D" w:rsidRPr="002F1671" w:rsidRDefault="00D92E6D" w:rsidP="001178C0">
            <w:pPr>
              <w:jc w:val="center"/>
              <w:rPr>
                <w:sz w:val="20"/>
                <w:szCs w:val="18"/>
              </w:rPr>
            </w:pPr>
            <w:r w:rsidRPr="002F1671">
              <w:rPr>
                <w:sz w:val="20"/>
                <w:szCs w:val="18"/>
              </w:rPr>
              <w:t>-0.1 ± 0.78</w:t>
            </w:r>
          </w:p>
        </w:tc>
      </w:tr>
      <w:tr w:rsidR="00D92E6D" w:rsidRPr="00D92E6D" w14:paraId="3EE35E8E" w14:textId="77777777" w:rsidTr="00CE1917">
        <w:tc>
          <w:tcPr>
            <w:tcW w:w="2070" w:type="dxa"/>
            <w:noWrap/>
            <w:vAlign w:val="center"/>
            <w:hideMark/>
          </w:tcPr>
          <w:p w14:paraId="7ECA8B3C" w14:textId="77777777" w:rsidR="00D92E6D" w:rsidRPr="00D92E6D" w:rsidRDefault="00D92E6D" w:rsidP="00CE1917">
            <w:pPr>
              <w:rPr>
                <w:sz w:val="20"/>
                <w:szCs w:val="18"/>
              </w:rPr>
            </w:pPr>
            <w:r w:rsidRPr="00D92E6D">
              <w:rPr>
                <w:sz w:val="20"/>
                <w:szCs w:val="18"/>
              </w:rPr>
              <w:t>Pseudoalteromonadaceae</w:t>
            </w:r>
          </w:p>
        </w:tc>
        <w:tc>
          <w:tcPr>
            <w:tcW w:w="1388" w:type="dxa"/>
            <w:noWrap/>
            <w:vAlign w:val="center"/>
            <w:hideMark/>
          </w:tcPr>
          <w:p w14:paraId="3B4C71C3" w14:textId="77777777" w:rsidR="00D92E6D" w:rsidRPr="00D92E6D" w:rsidRDefault="00D92E6D" w:rsidP="00CE1917">
            <w:pPr>
              <w:rPr>
                <w:sz w:val="20"/>
                <w:szCs w:val="18"/>
              </w:rPr>
            </w:pPr>
            <w:r w:rsidRPr="00D92E6D">
              <w:rPr>
                <w:sz w:val="20"/>
                <w:szCs w:val="18"/>
              </w:rPr>
              <w:t>Algicola</w:t>
            </w:r>
          </w:p>
        </w:tc>
        <w:tc>
          <w:tcPr>
            <w:tcW w:w="778" w:type="dxa"/>
            <w:tcBorders>
              <w:right w:val="single" w:sz="4" w:space="0" w:color="auto"/>
            </w:tcBorders>
            <w:noWrap/>
            <w:vAlign w:val="center"/>
            <w:hideMark/>
          </w:tcPr>
          <w:p w14:paraId="7EB50E24" w14:textId="77777777" w:rsidR="00D92E6D" w:rsidRPr="00D92E6D" w:rsidRDefault="00D92E6D" w:rsidP="00E9675C">
            <w:pPr>
              <w:rPr>
                <w:sz w:val="20"/>
                <w:szCs w:val="18"/>
              </w:rPr>
            </w:pPr>
            <w:r w:rsidRPr="00D92E6D">
              <w:rPr>
                <w:sz w:val="20"/>
                <w:szCs w:val="18"/>
              </w:rPr>
              <w:t>ASV49</w:t>
            </w:r>
          </w:p>
        </w:tc>
        <w:tc>
          <w:tcPr>
            <w:tcW w:w="810" w:type="dxa"/>
            <w:tcBorders>
              <w:left w:val="single" w:sz="4" w:space="0" w:color="auto"/>
            </w:tcBorders>
            <w:noWrap/>
            <w:vAlign w:val="center"/>
            <w:hideMark/>
          </w:tcPr>
          <w:p w14:paraId="02EC8626" w14:textId="77777777" w:rsidR="00D92E6D" w:rsidRPr="00D92E6D" w:rsidRDefault="00D92E6D" w:rsidP="00E9675C">
            <w:pPr>
              <w:jc w:val="center"/>
              <w:rPr>
                <w:sz w:val="20"/>
                <w:szCs w:val="18"/>
              </w:rPr>
            </w:pPr>
            <w:r w:rsidRPr="00D92E6D">
              <w:rPr>
                <w:sz w:val="20"/>
                <w:szCs w:val="18"/>
              </w:rPr>
              <w:t>13.5</w:t>
            </w:r>
          </w:p>
        </w:tc>
        <w:tc>
          <w:tcPr>
            <w:tcW w:w="810" w:type="dxa"/>
            <w:noWrap/>
            <w:vAlign w:val="center"/>
            <w:hideMark/>
          </w:tcPr>
          <w:p w14:paraId="46E31813" w14:textId="77777777" w:rsidR="00D92E6D" w:rsidRPr="00D92E6D" w:rsidRDefault="00D92E6D" w:rsidP="001178C0">
            <w:pPr>
              <w:jc w:val="center"/>
              <w:rPr>
                <w:sz w:val="20"/>
                <w:szCs w:val="18"/>
              </w:rPr>
            </w:pPr>
            <w:r w:rsidRPr="00D92E6D">
              <w:rPr>
                <w:sz w:val="20"/>
                <w:szCs w:val="18"/>
              </w:rPr>
              <w:t>0.028</w:t>
            </w:r>
          </w:p>
        </w:tc>
        <w:tc>
          <w:tcPr>
            <w:tcW w:w="1258" w:type="dxa"/>
            <w:noWrap/>
            <w:vAlign w:val="center"/>
            <w:hideMark/>
          </w:tcPr>
          <w:p w14:paraId="111F7A8F" w14:textId="13866F70" w:rsidR="00D92E6D" w:rsidRPr="002F1671" w:rsidRDefault="00D92E6D" w:rsidP="001178C0">
            <w:pPr>
              <w:jc w:val="center"/>
              <w:rPr>
                <w:b/>
                <w:bCs/>
                <w:sz w:val="20"/>
                <w:szCs w:val="18"/>
              </w:rPr>
            </w:pPr>
            <w:r w:rsidRPr="002F1671">
              <w:rPr>
                <w:b/>
                <w:bCs/>
                <w:sz w:val="20"/>
                <w:szCs w:val="18"/>
              </w:rPr>
              <w:t>2.4 ± 0.4</w:t>
            </w:r>
          </w:p>
        </w:tc>
        <w:tc>
          <w:tcPr>
            <w:tcW w:w="1260" w:type="dxa"/>
            <w:noWrap/>
            <w:vAlign w:val="center"/>
            <w:hideMark/>
          </w:tcPr>
          <w:p w14:paraId="7FAD6868" w14:textId="77777777" w:rsidR="00D92E6D" w:rsidRPr="002F1671" w:rsidRDefault="00D92E6D" w:rsidP="001178C0">
            <w:pPr>
              <w:jc w:val="center"/>
              <w:rPr>
                <w:sz w:val="20"/>
                <w:szCs w:val="18"/>
              </w:rPr>
            </w:pPr>
            <w:r w:rsidRPr="002F1671">
              <w:rPr>
                <w:sz w:val="20"/>
                <w:szCs w:val="18"/>
              </w:rPr>
              <w:t>0 ± 0.41</w:t>
            </w:r>
          </w:p>
        </w:tc>
        <w:tc>
          <w:tcPr>
            <w:tcW w:w="1260" w:type="dxa"/>
            <w:noWrap/>
            <w:vAlign w:val="center"/>
            <w:hideMark/>
          </w:tcPr>
          <w:p w14:paraId="3A8B6148" w14:textId="276DDDED" w:rsidR="00D92E6D" w:rsidRPr="00A128A8" w:rsidRDefault="00D92E6D" w:rsidP="001178C0">
            <w:pPr>
              <w:jc w:val="center"/>
              <w:rPr>
                <w:b/>
                <w:bCs/>
                <w:sz w:val="20"/>
                <w:szCs w:val="18"/>
              </w:rPr>
            </w:pPr>
            <w:r w:rsidRPr="00A128A8">
              <w:rPr>
                <w:b/>
                <w:bCs/>
                <w:sz w:val="20"/>
                <w:szCs w:val="18"/>
              </w:rPr>
              <w:t>1.5 ± 0.41</w:t>
            </w:r>
          </w:p>
        </w:tc>
        <w:tc>
          <w:tcPr>
            <w:tcW w:w="1260" w:type="dxa"/>
            <w:noWrap/>
            <w:vAlign w:val="center"/>
            <w:hideMark/>
          </w:tcPr>
          <w:p w14:paraId="101FD89B" w14:textId="3CE79674" w:rsidR="00D92E6D" w:rsidRPr="00A128A8" w:rsidRDefault="00D92E6D" w:rsidP="001178C0">
            <w:pPr>
              <w:jc w:val="center"/>
              <w:rPr>
                <w:b/>
                <w:bCs/>
                <w:sz w:val="20"/>
                <w:szCs w:val="18"/>
              </w:rPr>
            </w:pPr>
            <w:r w:rsidRPr="00A128A8">
              <w:rPr>
                <w:b/>
                <w:bCs/>
                <w:sz w:val="20"/>
                <w:szCs w:val="18"/>
              </w:rPr>
              <w:t>1.3 ± 0.38</w:t>
            </w:r>
          </w:p>
        </w:tc>
        <w:tc>
          <w:tcPr>
            <w:tcW w:w="1260" w:type="dxa"/>
            <w:noWrap/>
            <w:vAlign w:val="center"/>
            <w:hideMark/>
          </w:tcPr>
          <w:p w14:paraId="30C576CB" w14:textId="77777777" w:rsidR="00D92E6D" w:rsidRPr="002F1671" w:rsidRDefault="00D92E6D" w:rsidP="001178C0">
            <w:pPr>
              <w:jc w:val="center"/>
              <w:rPr>
                <w:sz w:val="20"/>
                <w:szCs w:val="18"/>
              </w:rPr>
            </w:pPr>
            <w:r w:rsidRPr="002F1671">
              <w:rPr>
                <w:sz w:val="20"/>
                <w:szCs w:val="18"/>
              </w:rPr>
              <w:t>0 ± 0.49</w:t>
            </w:r>
          </w:p>
        </w:tc>
        <w:tc>
          <w:tcPr>
            <w:tcW w:w="992" w:type="dxa"/>
            <w:noWrap/>
            <w:vAlign w:val="center"/>
            <w:hideMark/>
          </w:tcPr>
          <w:p w14:paraId="226B2456" w14:textId="77777777" w:rsidR="00D92E6D" w:rsidRPr="002F1671" w:rsidRDefault="00D92E6D" w:rsidP="001178C0">
            <w:pPr>
              <w:jc w:val="center"/>
              <w:rPr>
                <w:sz w:val="20"/>
                <w:szCs w:val="18"/>
              </w:rPr>
            </w:pPr>
            <w:r w:rsidRPr="002F1671">
              <w:rPr>
                <w:sz w:val="20"/>
                <w:szCs w:val="18"/>
              </w:rPr>
              <w:t>0.5 ± 0.36</w:t>
            </w:r>
          </w:p>
        </w:tc>
        <w:tc>
          <w:tcPr>
            <w:tcW w:w="993" w:type="dxa"/>
            <w:noWrap/>
            <w:vAlign w:val="center"/>
            <w:hideMark/>
          </w:tcPr>
          <w:p w14:paraId="035DC1E0" w14:textId="77777777" w:rsidR="00D92E6D" w:rsidRPr="002F1671" w:rsidRDefault="00D92E6D" w:rsidP="001178C0">
            <w:pPr>
              <w:jc w:val="center"/>
              <w:rPr>
                <w:sz w:val="20"/>
                <w:szCs w:val="18"/>
              </w:rPr>
            </w:pPr>
            <w:r w:rsidRPr="002F1671">
              <w:rPr>
                <w:sz w:val="20"/>
                <w:szCs w:val="18"/>
              </w:rPr>
              <w:t>0.3 ± 0.37</w:t>
            </w:r>
          </w:p>
        </w:tc>
      </w:tr>
      <w:tr w:rsidR="00D92E6D" w:rsidRPr="00D92E6D" w14:paraId="22C92287" w14:textId="77777777" w:rsidTr="00CE1917">
        <w:tc>
          <w:tcPr>
            <w:tcW w:w="2070" w:type="dxa"/>
            <w:noWrap/>
            <w:vAlign w:val="center"/>
            <w:hideMark/>
          </w:tcPr>
          <w:p w14:paraId="33AF3F8F" w14:textId="77777777" w:rsidR="00D92E6D" w:rsidRPr="00D92E6D" w:rsidRDefault="00D92E6D" w:rsidP="00CE1917">
            <w:pPr>
              <w:rPr>
                <w:sz w:val="20"/>
                <w:szCs w:val="18"/>
              </w:rPr>
            </w:pPr>
            <w:r w:rsidRPr="00D92E6D">
              <w:rPr>
                <w:sz w:val="20"/>
                <w:szCs w:val="18"/>
              </w:rPr>
              <w:t>Francisellaceae</w:t>
            </w:r>
          </w:p>
        </w:tc>
        <w:tc>
          <w:tcPr>
            <w:tcW w:w="1388" w:type="dxa"/>
            <w:noWrap/>
            <w:vAlign w:val="center"/>
            <w:hideMark/>
          </w:tcPr>
          <w:p w14:paraId="65261FD9" w14:textId="77777777" w:rsidR="00D92E6D" w:rsidRPr="00D92E6D" w:rsidRDefault="00D92E6D" w:rsidP="00CE1917">
            <w:pPr>
              <w:rPr>
                <w:sz w:val="20"/>
                <w:szCs w:val="18"/>
              </w:rPr>
            </w:pPr>
            <w:r w:rsidRPr="00D92E6D">
              <w:rPr>
                <w:sz w:val="20"/>
                <w:szCs w:val="18"/>
              </w:rPr>
              <w:t>[Caedibacter] taeniospiralis group</w:t>
            </w:r>
          </w:p>
        </w:tc>
        <w:tc>
          <w:tcPr>
            <w:tcW w:w="778" w:type="dxa"/>
            <w:tcBorders>
              <w:right w:val="single" w:sz="4" w:space="0" w:color="auto"/>
            </w:tcBorders>
            <w:noWrap/>
            <w:vAlign w:val="center"/>
            <w:hideMark/>
          </w:tcPr>
          <w:p w14:paraId="02A0ABF1" w14:textId="77777777" w:rsidR="00D92E6D" w:rsidRPr="00D92E6D" w:rsidRDefault="00D92E6D" w:rsidP="00E9675C">
            <w:pPr>
              <w:rPr>
                <w:sz w:val="20"/>
                <w:szCs w:val="18"/>
              </w:rPr>
            </w:pPr>
            <w:r w:rsidRPr="00D92E6D">
              <w:rPr>
                <w:sz w:val="20"/>
                <w:szCs w:val="18"/>
              </w:rPr>
              <w:t>ASV25</w:t>
            </w:r>
          </w:p>
        </w:tc>
        <w:tc>
          <w:tcPr>
            <w:tcW w:w="810" w:type="dxa"/>
            <w:tcBorders>
              <w:left w:val="single" w:sz="4" w:space="0" w:color="auto"/>
            </w:tcBorders>
            <w:noWrap/>
            <w:vAlign w:val="center"/>
            <w:hideMark/>
          </w:tcPr>
          <w:p w14:paraId="68F0E370" w14:textId="77777777" w:rsidR="00D92E6D" w:rsidRPr="00D92E6D" w:rsidRDefault="00D92E6D" w:rsidP="00E9675C">
            <w:pPr>
              <w:jc w:val="center"/>
              <w:rPr>
                <w:sz w:val="20"/>
                <w:szCs w:val="18"/>
              </w:rPr>
            </w:pPr>
            <w:r w:rsidRPr="00D92E6D">
              <w:rPr>
                <w:sz w:val="20"/>
                <w:szCs w:val="18"/>
              </w:rPr>
              <w:t>1</w:t>
            </w:r>
          </w:p>
        </w:tc>
        <w:tc>
          <w:tcPr>
            <w:tcW w:w="810" w:type="dxa"/>
            <w:noWrap/>
            <w:vAlign w:val="center"/>
            <w:hideMark/>
          </w:tcPr>
          <w:p w14:paraId="7C5223F1"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7639C6BD" w14:textId="1B83B350" w:rsidR="00D92E6D" w:rsidRPr="002F1671" w:rsidRDefault="00D92E6D" w:rsidP="001178C0">
            <w:pPr>
              <w:jc w:val="center"/>
              <w:rPr>
                <w:b/>
                <w:bCs/>
                <w:sz w:val="20"/>
                <w:szCs w:val="18"/>
              </w:rPr>
            </w:pPr>
            <w:r w:rsidRPr="002F1671">
              <w:rPr>
                <w:b/>
                <w:bCs/>
                <w:sz w:val="20"/>
                <w:szCs w:val="18"/>
              </w:rPr>
              <w:t>6.7 ± 0.51</w:t>
            </w:r>
          </w:p>
        </w:tc>
        <w:tc>
          <w:tcPr>
            <w:tcW w:w="1260" w:type="dxa"/>
            <w:noWrap/>
            <w:vAlign w:val="center"/>
            <w:hideMark/>
          </w:tcPr>
          <w:p w14:paraId="218A39F9" w14:textId="2682CF5E" w:rsidR="00D92E6D" w:rsidRPr="002F1671" w:rsidRDefault="00D92E6D" w:rsidP="001178C0">
            <w:pPr>
              <w:jc w:val="center"/>
              <w:rPr>
                <w:b/>
                <w:bCs/>
                <w:sz w:val="20"/>
                <w:szCs w:val="18"/>
              </w:rPr>
            </w:pPr>
            <w:r w:rsidRPr="002F1671">
              <w:rPr>
                <w:b/>
                <w:bCs/>
                <w:sz w:val="20"/>
                <w:szCs w:val="18"/>
              </w:rPr>
              <w:t>3.9 ± 0.52</w:t>
            </w:r>
          </w:p>
        </w:tc>
        <w:tc>
          <w:tcPr>
            <w:tcW w:w="1260" w:type="dxa"/>
            <w:noWrap/>
            <w:vAlign w:val="center"/>
            <w:hideMark/>
          </w:tcPr>
          <w:p w14:paraId="4EDEBBEE" w14:textId="035A11AF" w:rsidR="00D92E6D" w:rsidRPr="00A128A8" w:rsidRDefault="00D92E6D" w:rsidP="001178C0">
            <w:pPr>
              <w:jc w:val="center"/>
              <w:rPr>
                <w:b/>
                <w:bCs/>
                <w:sz w:val="20"/>
                <w:szCs w:val="18"/>
              </w:rPr>
            </w:pPr>
            <w:r w:rsidRPr="00A128A8">
              <w:rPr>
                <w:b/>
                <w:bCs/>
                <w:sz w:val="20"/>
                <w:szCs w:val="18"/>
              </w:rPr>
              <w:t>5.7 ± 0.52</w:t>
            </w:r>
          </w:p>
        </w:tc>
        <w:tc>
          <w:tcPr>
            <w:tcW w:w="1260" w:type="dxa"/>
            <w:noWrap/>
            <w:vAlign w:val="center"/>
            <w:hideMark/>
          </w:tcPr>
          <w:p w14:paraId="51DC7552" w14:textId="31651375" w:rsidR="00D92E6D" w:rsidRPr="00A128A8" w:rsidRDefault="00D92E6D" w:rsidP="001178C0">
            <w:pPr>
              <w:jc w:val="center"/>
              <w:rPr>
                <w:b/>
                <w:bCs/>
                <w:sz w:val="20"/>
                <w:szCs w:val="18"/>
              </w:rPr>
            </w:pPr>
            <w:r w:rsidRPr="00A128A8">
              <w:rPr>
                <w:b/>
                <w:bCs/>
                <w:sz w:val="20"/>
                <w:szCs w:val="18"/>
              </w:rPr>
              <w:t>4.7 ± 0.48</w:t>
            </w:r>
          </w:p>
        </w:tc>
        <w:tc>
          <w:tcPr>
            <w:tcW w:w="1260" w:type="dxa"/>
            <w:noWrap/>
            <w:vAlign w:val="center"/>
            <w:hideMark/>
          </w:tcPr>
          <w:p w14:paraId="118DBF28" w14:textId="77777777" w:rsidR="00D92E6D" w:rsidRPr="002F1671" w:rsidRDefault="00D92E6D" w:rsidP="001178C0">
            <w:pPr>
              <w:jc w:val="center"/>
              <w:rPr>
                <w:sz w:val="20"/>
                <w:szCs w:val="18"/>
              </w:rPr>
            </w:pPr>
            <w:r w:rsidRPr="002F1671">
              <w:rPr>
                <w:sz w:val="20"/>
                <w:szCs w:val="18"/>
              </w:rPr>
              <w:t>-0.4 ± 1.08</w:t>
            </w:r>
          </w:p>
        </w:tc>
        <w:tc>
          <w:tcPr>
            <w:tcW w:w="992" w:type="dxa"/>
            <w:noWrap/>
            <w:vAlign w:val="center"/>
            <w:hideMark/>
          </w:tcPr>
          <w:p w14:paraId="05EB1862" w14:textId="0DA841C7" w:rsidR="00D92E6D" w:rsidRPr="00A128A8" w:rsidRDefault="00D92E6D" w:rsidP="001178C0">
            <w:pPr>
              <w:jc w:val="center"/>
              <w:rPr>
                <w:b/>
                <w:bCs/>
                <w:sz w:val="20"/>
                <w:szCs w:val="18"/>
              </w:rPr>
            </w:pPr>
            <w:r w:rsidRPr="00A128A8">
              <w:rPr>
                <w:b/>
                <w:bCs/>
                <w:sz w:val="20"/>
                <w:szCs w:val="18"/>
              </w:rPr>
              <w:t>3.3 ± 0.81</w:t>
            </w:r>
          </w:p>
        </w:tc>
        <w:tc>
          <w:tcPr>
            <w:tcW w:w="993" w:type="dxa"/>
            <w:noWrap/>
            <w:vAlign w:val="center"/>
            <w:hideMark/>
          </w:tcPr>
          <w:p w14:paraId="27131995" w14:textId="77777777" w:rsidR="00D92E6D" w:rsidRPr="002F1671" w:rsidRDefault="00D92E6D" w:rsidP="001178C0">
            <w:pPr>
              <w:jc w:val="center"/>
              <w:rPr>
                <w:sz w:val="20"/>
                <w:szCs w:val="18"/>
              </w:rPr>
            </w:pPr>
            <w:r w:rsidRPr="002F1671">
              <w:rPr>
                <w:sz w:val="20"/>
                <w:szCs w:val="18"/>
              </w:rPr>
              <w:t>0.3 ± 0.83</w:t>
            </w:r>
          </w:p>
        </w:tc>
      </w:tr>
      <w:tr w:rsidR="00D92E6D" w:rsidRPr="00D92E6D" w14:paraId="72291B80" w14:textId="77777777" w:rsidTr="00CE1917">
        <w:tc>
          <w:tcPr>
            <w:tcW w:w="2070" w:type="dxa"/>
            <w:vMerge w:val="restart"/>
            <w:noWrap/>
            <w:vAlign w:val="center"/>
            <w:hideMark/>
          </w:tcPr>
          <w:p w14:paraId="193E4DC4" w14:textId="77777777" w:rsidR="00D92E6D" w:rsidRPr="00D92E6D" w:rsidRDefault="00D92E6D" w:rsidP="00CE1917">
            <w:pPr>
              <w:rPr>
                <w:sz w:val="20"/>
                <w:szCs w:val="18"/>
              </w:rPr>
            </w:pPr>
            <w:r w:rsidRPr="00D92E6D">
              <w:rPr>
                <w:sz w:val="20"/>
                <w:szCs w:val="18"/>
              </w:rPr>
              <w:t>Endozoicomonadaceae</w:t>
            </w:r>
          </w:p>
        </w:tc>
        <w:tc>
          <w:tcPr>
            <w:tcW w:w="1388" w:type="dxa"/>
            <w:vMerge w:val="restart"/>
            <w:noWrap/>
            <w:vAlign w:val="center"/>
            <w:hideMark/>
          </w:tcPr>
          <w:p w14:paraId="063A1EF0" w14:textId="77777777" w:rsidR="00D92E6D" w:rsidRPr="00D92E6D" w:rsidRDefault="00D92E6D" w:rsidP="00CE1917">
            <w:pPr>
              <w:rPr>
                <w:sz w:val="20"/>
                <w:szCs w:val="18"/>
              </w:rPr>
            </w:pPr>
            <w:r w:rsidRPr="00D92E6D">
              <w:rPr>
                <w:sz w:val="20"/>
                <w:szCs w:val="18"/>
              </w:rPr>
              <w:t>Endozoicomonas</w:t>
            </w:r>
          </w:p>
        </w:tc>
        <w:tc>
          <w:tcPr>
            <w:tcW w:w="778" w:type="dxa"/>
            <w:tcBorders>
              <w:right w:val="single" w:sz="4" w:space="0" w:color="auto"/>
            </w:tcBorders>
            <w:noWrap/>
            <w:vAlign w:val="center"/>
            <w:hideMark/>
          </w:tcPr>
          <w:p w14:paraId="7EC1A2A4" w14:textId="77777777" w:rsidR="00D92E6D" w:rsidRPr="00D92E6D" w:rsidRDefault="00D92E6D" w:rsidP="00E9675C">
            <w:pPr>
              <w:rPr>
                <w:sz w:val="20"/>
                <w:szCs w:val="18"/>
              </w:rPr>
            </w:pPr>
            <w:r w:rsidRPr="00D92E6D">
              <w:rPr>
                <w:sz w:val="20"/>
                <w:szCs w:val="18"/>
              </w:rPr>
              <w:t>ASV108</w:t>
            </w:r>
          </w:p>
        </w:tc>
        <w:tc>
          <w:tcPr>
            <w:tcW w:w="810" w:type="dxa"/>
            <w:tcBorders>
              <w:left w:val="single" w:sz="4" w:space="0" w:color="auto"/>
            </w:tcBorders>
            <w:noWrap/>
            <w:vAlign w:val="center"/>
            <w:hideMark/>
          </w:tcPr>
          <w:p w14:paraId="65897C64" w14:textId="77777777" w:rsidR="00D92E6D" w:rsidRPr="00D92E6D" w:rsidRDefault="00D92E6D" w:rsidP="00E9675C">
            <w:pPr>
              <w:jc w:val="center"/>
              <w:rPr>
                <w:sz w:val="20"/>
                <w:szCs w:val="18"/>
              </w:rPr>
            </w:pPr>
            <w:r w:rsidRPr="00D92E6D">
              <w:rPr>
                <w:sz w:val="20"/>
                <w:szCs w:val="18"/>
              </w:rPr>
              <w:t>9</w:t>
            </w:r>
          </w:p>
        </w:tc>
        <w:tc>
          <w:tcPr>
            <w:tcW w:w="810" w:type="dxa"/>
            <w:noWrap/>
            <w:vAlign w:val="center"/>
            <w:hideMark/>
          </w:tcPr>
          <w:p w14:paraId="6675EA42"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54A8CF53" w14:textId="0AF033B5" w:rsidR="00D92E6D" w:rsidRPr="002F1671" w:rsidRDefault="00D92E6D" w:rsidP="001178C0">
            <w:pPr>
              <w:jc w:val="center"/>
              <w:rPr>
                <w:b/>
                <w:bCs/>
                <w:sz w:val="20"/>
                <w:szCs w:val="18"/>
              </w:rPr>
            </w:pPr>
            <w:r w:rsidRPr="002F1671">
              <w:rPr>
                <w:b/>
                <w:bCs/>
                <w:sz w:val="20"/>
                <w:szCs w:val="18"/>
              </w:rPr>
              <w:t>1.8 ± 0.39</w:t>
            </w:r>
          </w:p>
        </w:tc>
        <w:tc>
          <w:tcPr>
            <w:tcW w:w="1260" w:type="dxa"/>
            <w:noWrap/>
            <w:vAlign w:val="center"/>
            <w:hideMark/>
          </w:tcPr>
          <w:p w14:paraId="6B268BD3" w14:textId="3BFC5403" w:rsidR="00D92E6D" w:rsidRPr="002F1671" w:rsidRDefault="00D92E6D" w:rsidP="001178C0">
            <w:pPr>
              <w:jc w:val="center"/>
              <w:rPr>
                <w:b/>
                <w:bCs/>
                <w:sz w:val="20"/>
                <w:szCs w:val="18"/>
              </w:rPr>
            </w:pPr>
            <w:r w:rsidRPr="002F1671">
              <w:rPr>
                <w:b/>
                <w:bCs/>
                <w:sz w:val="20"/>
                <w:szCs w:val="18"/>
              </w:rPr>
              <w:t>3.4 ± 0.4</w:t>
            </w:r>
          </w:p>
        </w:tc>
        <w:tc>
          <w:tcPr>
            <w:tcW w:w="1260" w:type="dxa"/>
            <w:noWrap/>
            <w:vAlign w:val="center"/>
            <w:hideMark/>
          </w:tcPr>
          <w:p w14:paraId="40CF1457" w14:textId="5A2FC5D7" w:rsidR="00D92E6D" w:rsidRPr="00A128A8" w:rsidRDefault="00D92E6D" w:rsidP="001178C0">
            <w:pPr>
              <w:jc w:val="center"/>
              <w:rPr>
                <w:b/>
                <w:bCs/>
                <w:sz w:val="20"/>
                <w:szCs w:val="18"/>
              </w:rPr>
            </w:pPr>
            <w:r w:rsidRPr="00A128A8">
              <w:rPr>
                <w:b/>
                <w:bCs/>
                <w:sz w:val="20"/>
                <w:szCs w:val="18"/>
              </w:rPr>
              <w:t>2.8 ± 0.41</w:t>
            </w:r>
          </w:p>
        </w:tc>
        <w:tc>
          <w:tcPr>
            <w:tcW w:w="1260" w:type="dxa"/>
            <w:noWrap/>
            <w:vAlign w:val="center"/>
            <w:hideMark/>
          </w:tcPr>
          <w:p w14:paraId="634C1CA7" w14:textId="75C59F45" w:rsidR="00D92E6D" w:rsidRPr="00A128A8" w:rsidRDefault="00D92E6D" w:rsidP="001178C0">
            <w:pPr>
              <w:jc w:val="center"/>
              <w:rPr>
                <w:b/>
                <w:bCs/>
                <w:sz w:val="20"/>
                <w:szCs w:val="18"/>
              </w:rPr>
            </w:pPr>
            <w:r w:rsidRPr="00A128A8">
              <w:rPr>
                <w:b/>
                <w:bCs/>
                <w:sz w:val="20"/>
                <w:szCs w:val="18"/>
              </w:rPr>
              <w:t>3 ± 0.37</w:t>
            </w:r>
          </w:p>
        </w:tc>
        <w:tc>
          <w:tcPr>
            <w:tcW w:w="1260" w:type="dxa"/>
            <w:noWrap/>
            <w:vAlign w:val="center"/>
            <w:hideMark/>
          </w:tcPr>
          <w:p w14:paraId="79F424B5" w14:textId="77777777" w:rsidR="00D92E6D" w:rsidRPr="002F1671" w:rsidRDefault="00D92E6D" w:rsidP="001178C0">
            <w:pPr>
              <w:jc w:val="center"/>
              <w:rPr>
                <w:sz w:val="20"/>
                <w:szCs w:val="18"/>
              </w:rPr>
            </w:pPr>
            <w:r w:rsidRPr="002F1671">
              <w:rPr>
                <w:sz w:val="20"/>
                <w:szCs w:val="18"/>
              </w:rPr>
              <w:t>0.5 ± 0.31</w:t>
            </w:r>
          </w:p>
        </w:tc>
        <w:tc>
          <w:tcPr>
            <w:tcW w:w="992" w:type="dxa"/>
            <w:noWrap/>
            <w:vAlign w:val="center"/>
            <w:hideMark/>
          </w:tcPr>
          <w:p w14:paraId="26311F21" w14:textId="77777777" w:rsidR="00D92E6D" w:rsidRPr="002F1671" w:rsidRDefault="00D92E6D" w:rsidP="001178C0">
            <w:pPr>
              <w:jc w:val="center"/>
              <w:rPr>
                <w:sz w:val="20"/>
                <w:szCs w:val="18"/>
              </w:rPr>
            </w:pPr>
            <w:r w:rsidRPr="002F1671">
              <w:rPr>
                <w:sz w:val="20"/>
                <w:szCs w:val="18"/>
              </w:rPr>
              <w:t>0.2 ± 0.24</w:t>
            </w:r>
          </w:p>
        </w:tc>
        <w:tc>
          <w:tcPr>
            <w:tcW w:w="993" w:type="dxa"/>
            <w:noWrap/>
            <w:vAlign w:val="center"/>
            <w:hideMark/>
          </w:tcPr>
          <w:p w14:paraId="4583F3B4" w14:textId="77777777" w:rsidR="00D92E6D" w:rsidRPr="002F1671" w:rsidRDefault="00D92E6D" w:rsidP="001178C0">
            <w:pPr>
              <w:jc w:val="center"/>
              <w:rPr>
                <w:sz w:val="20"/>
                <w:szCs w:val="18"/>
              </w:rPr>
            </w:pPr>
            <w:r w:rsidRPr="002F1671">
              <w:rPr>
                <w:sz w:val="20"/>
                <w:szCs w:val="18"/>
              </w:rPr>
              <w:t>0.1 ± 0.24</w:t>
            </w:r>
          </w:p>
        </w:tc>
      </w:tr>
      <w:tr w:rsidR="00D92E6D" w:rsidRPr="00D92E6D" w14:paraId="312C9B60" w14:textId="77777777" w:rsidTr="00CE1917">
        <w:tc>
          <w:tcPr>
            <w:tcW w:w="2070" w:type="dxa"/>
            <w:vMerge/>
            <w:noWrap/>
            <w:vAlign w:val="center"/>
          </w:tcPr>
          <w:p w14:paraId="2E10F8E9" w14:textId="0D656247" w:rsidR="00D92E6D" w:rsidRPr="00D92E6D" w:rsidRDefault="00D92E6D" w:rsidP="00CE1917">
            <w:pPr>
              <w:rPr>
                <w:sz w:val="20"/>
                <w:szCs w:val="18"/>
              </w:rPr>
            </w:pPr>
          </w:p>
        </w:tc>
        <w:tc>
          <w:tcPr>
            <w:tcW w:w="1388" w:type="dxa"/>
            <w:vMerge/>
            <w:noWrap/>
            <w:vAlign w:val="center"/>
          </w:tcPr>
          <w:p w14:paraId="5C29BC6A" w14:textId="1FE7744D" w:rsidR="00D92E6D" w:rsidRPr="00D92E6D" w:rsidRDefault="00D92E6D" w:rsidP="00CE1917">
            <w:pPr>
              <w:rPr>
                <w:sz w:val="20"/>
                <w:szCs w:val="18"/>
              </w:rPr>
            </w:pPr>
          </w:p>
        </w:tc>
        <w:tc>
          <w:tcPr>
            <w:tcW w:w="778" w:type="dxa"/>
            <w:tcBorders>
              <w:right w:val="single" w:sz="4" w:space="0" w:color="auto"/>
            </w:tcBorders>
            <w:noWrap/>
            <w:vAlign w:val="center"/>
            <w:hideMark/>
          </w:tcPr>
          <w:p w14:paraId="482E0A12" w14:textId="77777777" w:rsidR="00D92E6D" w:rsidRPr="00D92E6D" w:rsidRDefault="00D92E6D" w:rsidP="00E9675C">
            <w:pPr>
              <w:rPr>
                <w:sz w:val="20"/>
                <w:szCs w:val="18"/>
              </w:rPr>
            </w:pPr>
            <w:r w:rsidRPr="00D92E6D">
              <w:rPr>
                <w:sz w:val="20"/>
                <w:szCs w:val="18"/>
              </w:rPr>
              <w:t>ASV700</w:t>
            </w:r>
          </w:p>
        </w:tc>
        <w:tc>
          <w:tcPr>
            <w:tcW w:w="810" w:type="dxa"/>
            <w:tcBorders>
              <w:left w:val="single" w:sz="4" w:space="0" w:color="auto"/>
            </w:tcBorders>
            <w:noWrap/>
            <w:vAlign w:val="center"/>
            <w:hideMark/>
          </w:tcPr>
          <w:p w14:paraId="29452D08" w14:textId="77777777" w:rsidR="00D92E6D" w:rsidRPr="00D92E6D" w:rsidRDefault="00D92E6D" w:rsidP="00E9675C">
            <w:pPr>
              <w:jc w:val="center"/>
              <w:rPr>
                <w:sz w:val="20"/>
                <w:szCs w:val="18"/>
              </w:rPr>
            </w:pPr>
            <w:r w:rsidRPr="00D92E6D">
              <w:rPr>
                <w:sz w:val="20"/>
                <w:szCs w:val="18"/>
              </w:rPr>
              <w:t>10</w:t>
            </w:r>
          </w:p>
        </w:tc>
        <w:tc>
          <w:tcPr>
            <w:tcW w:w="810" w:type="dxa"/>
            <w:noWrap/>
            <w:vAlign w:val="center"/>
            <w:hideMark/>
          </w:tcPr>
          <w:p w14:paraId="5DDD533D"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0ECF2201" w14:textId="397C15EC" w:rsidR="00D92E6D" w:rsidRPr="002F1671" w:rsidRDefault="00D92E6D" w:rsidP="001178C0">
            <w:pPr>
              <w:jc w:val="center"/>
              <w:rPr>
                <w:b/>
                <w:bCs/>
                <w:sz w:val="20"/>
                <w:szCs w:val="18"/>
              </w:rPr>
            </w:pPr>
            <w:r w:rsidRPr="002F1671">
              <w:rPr>
                <w:b/>
                <w:bCs/>
                <w:sz w:val="20"/>
                <w:szCs w:val="18"/>
              </w:rPr>
              <w:t>2.1 ± 0.26</w:t>
            </w:r>
          </w:p>
        </w:tc>
        <w:tc>
          <w:tcPr>
            <w:tcW w:w="1260" w:type="dxa"/>
            <w:noWrap/>
            <w:vAlign w:val="center"/>
            <w:hideMark/>
          </w:tcPr>
          <w:p w14:paraId="3B5847D8" w14:textId="77777777" w:rsidR="00D92E6D" w:rsidRPr="002F1671" w:rsidRDefault="00D92E6D" w:rsidP="001178C0">
            <w:pPr>
              <w:jc w:val="center"/>
              <w:rPr>
                <w:sz w:val="20"/>
                <w:szCs w:val="18"/>
              </w:rPr>
            </w:pPr>
            <w:r w:rsidRPr="002F1671">
              <w:rPr>
                <w:sz w:val="20"/>
                <w:szCs w:val="18"/>
              </w:rPr>
              <w:t>0.4 ± 0.27</w:t>
            </w:r>
          </w:p>
        </w:tc>
        <w:tc>
          <w:tcPr>
            <w:tcW w:w="1260" w:type="dxa"/>
            <w:noWrap/>
            <w:vAlign w:val="center"/>
            <w:hideMark/>
          </w:tcPr>
          <w:p w14:paraId="44C90E3F" w14:textId="6861E250" w:rsidR="00D92E6D" w:rsidRPr="00A128A8" w:rsidRDefault="00D92E6D" w:rsidP="001178C0">
            <w:pPr>
              <w:jc w:val="center"/>
              <w:rPr>
                <w:b/>
                <w:bCs/>
                <w:sz w:val="20"/>
                <w:szCs w:val="18"/>
              </w:rPr>
            </w:pPr>
            <w:r w:rsidRPr="00A128A8">
              <w:rPr>
                <w:b/>
                <w:bCs/>
                <w:sz w:val="20"/>
                <w:szCs w:val="18"/>
              </w:rPr>
              <w:t>1.3 ± 0.27</w:t>
            </w:r>
          </w:p>
        </w:tc>
        <w:tc>
          <w:tcPr>
            <w:tcW w:w="1260" w:type="dxa"/>
            <w:noWrap/>
            <w:vAlign w:val="center"/>
            <w:hideMark/>
          </w:tcPr>
          <w:p w14:paraId="70346C7D" w14:textId="0E340044" w:rsidR="00D92E6D" w:rsidRPr="00A128A8" w:rsidRDefault="00D92E6D" w:rsidP="001178C0">
            <w:pPr>
              <w:jc w:val="center"/>
              <w:rPr>
                <w:b/>
                <w:bCs/>
                <w:sz w:val="20"/>
                <w:szCs w:val="18"/>
              </w:rPr>
            </w:pPr>
            <w:r w:rsidRPr="00A128A8">
              <w:rPr>
                <w:b/>
                <w:bCs/>
                <w:sz w:val="20"/>
                <w:szCs w:val="18"/>
              </w:rPr>
              <w:t>0.9 ± 0.25</w:t>
            </w:r>
          </w:p>
        </w:tc>
        <w:tc>
          <w:tcPr>
            <w:tcW w:w="1260" w:type="dxa"/>
            <w:noWrap/>
            <w:vAlign w:val="center"/>
            <w:hideMark/>
          </w:tcPr>
          <w:p w14:paraId="2632DCF1" w14:textId="77777777" w:rsidR="00D92E6D" w:rsidRPr="002F1671" w:rsidRDefault="00D92E6D" w:rsidP="001178C0">
            <w:pPr>
              <w:jc w:val="center"/>
              <w:rPr>
                <w:sz w:val="20"/>
                <w:szCs w:val="18"/>
              </w:rPr>
            </w:pPr>
            <w:r w:rsidRPr="002F1671">
              <w:rPr>
                <w:sz w:val="20"/>
                <w:szCs w:val="18"/>
              </w:rPr>
              <w:t>0.2 ± 0.2</w:t>
            </w:r>
          </w:p>
        </w:tc>
        <w:tc>
          <w:tcPr>
            <w:tcW w:w="992" w:type="dxa"/>
            <w:noWrap/>
            <w:vAlign w:val="center"/>
            <w:hideMark/>
          </w:tcPr>
          <w:p w14:paraId="0852C1D3" w14:textId="77777777" w:rsidR="00D92E6D" w:rsidRPr="002F1671" w:rsidRDefault="00D92E6D" w:rsidP="001178C0">
            <w:pPr>
              <w:jc w:val="center"/>
              <w:rPr>
                <w:sz w:val="20"/>
                <w:szCs w:val="18"/>
              </w:rPr>
            </w:pPr>
            <w:r w:rsidRPr="002F1671">
              <w:rPr>
                <w:sz w:val="20"/>
                <w:szCs w:val="18"/>
              </w:rPr>
              <w:t>0.2 ± 0.15</w:t>
            </w:r>
          </w:p>
        </w:tc>
        <w:tc>
          <w:tcPr>
            <w:tcW w:w="993" w:type="dxa"/>
            <w:noWrap/>
            <w:vAlign w:val="center"/>
            <w:hideMark/>
          </w:tcPr>
          <w:p w14:paraId="69E27EF0" w14:textId="77777777" w:rsidR="00D92E6D" w:rsidRPr="002F1671" w:rsidRDefault="00D92E6D" w:rsidP="001178C0">
            <w:pPr>
              <w:jc w:val="center"/>
              <w:rPr>
                <w:sz w:val="20"/>
                <w:szCs w:val="18"/>
              </w:rPr>
            </w:pPr>
            <w:r w:rsidRPr="002F1671">
              <w:rPr>
                <w:sz w:val="20"/>
                <w:szCs w:val="18"/>
              </w:rPr>
              <w:t>0 ± 0.15</w:t>
            </w:r>
          </w:p>
        </w:tc>
      </w:tr>
      <w:tr w:rsidR="00D92E6D" w:rsidRPr="00D92E6D" w14:paraId="4C5E10F6" w14:textId="77777777" w:rsidTr="00CE1917">
        <w:tc>
          <w:tcPr>
            <w:tcW w:w="2070" w:type="dxa"/>
            <w:vMerge/>
            <w:noWrap/>
            <w:vAlign w:val="center"/>
          </w:tcPr>
          <w:p w14:paraId="175171B7" w14:textId="643383F6" w:rsidR="00D92E6D" w:rsidRPr="00D92E6D" w:rsidRDefault="00D92E6D" w:rsidP="00CE1917">
            <w:pPr>
              <w:rPr>
                <w:sz w:val="20"/>
                <w:szCs w:val="18"/>
              </w:rPr>
            </w:pPr>
          </w:p>
        </w:tc>
        <w:tc>
          <w:tcPr>
            <w:tcW w:w="1388" w:type="dxa"/>
            <w:vMerge/>
            <w:noWrap/>
            <w:vAlign w:val="center"/>
          </w:tcPr>
          <w:p w14:paraId="2A844A08" w14:textId="0577E908" w:rsidR="00D92E6D" w:rsidRPr="00D92E6D" w:rsidRDefault="00D92E6D" w:rsidP="00CE1917">
            <w:pPr>
              <w:rPr>
                <w:sz w:val="20"/>
                <w:szCs w:val="18"/>
              </w:rPr>
            </w:pPr>
          </w:p>
        </w:tc>
        <w:tc>
          <w:tcPr>
            <w:tcW w:w="778" w:type="dxa"/>
            <w:tcBorders>
              <w:right w:val="single" w:sz="4" w:space="0" w:color="auto"/>
            </w:tcBorders>
            <w:noWrap/>
            <w:vAlign w:val="center"/>
            <w:hideMark/>
          </w:tcPr>
          <w:p w14:paraId="3018D280" w14:textId="77777777" w:rsidR="00D92E6D" w:rsidRPr="00D92E6D" w:rsidRDefault="00D92E6D" w:rsidP="00E9675C">
            <w:pPr>
              <w:rPr>
                <w:sz w:val="20"/>
                <w:szCs w:val="18"/>
              </w:rPr>
            </w:pPr>
            <w:r w:rsidRPr="00D92E6D">
              <w:rPr>
                <w:sz w:val="20"/>
                <w:szCs w:val="18"/>
              </w:rPr>
              <w:t>ASV322</w:t>
            </w:r>
          </w:p>
        </w:tc>
        <w:tc>
          <w:tcPr>
            <w:tcW w:w="810" w:type="dxa"/>
            <w:tcBorders>
              <w:left w:val="single" w:sz="4" w:space="0" w:color="auto"/>
            </w:tcBorders>
            <w:noWrap/>
            <w:vAlign w:val="center"/>
            <w:hideMark/>
          </w:tcPr>
          <w:p w14:paraId="435037D1" w14:textId="77777777" w:rsidR="00D92E6D" w:rsidRPr="00D92E6D" w:rsidRDefault="00D92E6D" w:rsidP="00E9675C">
            <w:pPr>
              <w:jc w:val="center"/>
              <w:rPr>
                <w:sz w:val="20"/>
                <w:szCs w:val="18"/>
              </w:rPr>
            </w:pPr>
            <w:r w:rsidRPr="00D92E6D">
              <w:rPr>
                <w:sz w:val="20"/>
                <w:szCs w:val="18"/>
              </w:rPr>
              <w:t>15.5</w:t>
            </w:r>
          </w:p>
        </w:tc>
        <w:tc>
          <w:tcPr>
            <w:tcW w:w="810" w:type="dxa"/>
            <w:noWrap/>
            <w:vAlign w:val="center"/>
            <w:hideMark/>
          </w:tcPr>
          <w:p w14:paraId="777A130E" w14:textId="77777777" w:rsidR="00D92E6D" w:rsidRPr="00D92E6D" w:rsidRDefault="00D92E6D" w:rsidP="001178C0">
            <w:pPr>
              <w:jc w:val="center"/>
              <w:rPr>
                <w:sz w:val="20"/>
                <w:szCs w:val="18"/>
              </w:rPr>
            </w:pPr>
            <w:r w:rsidRPr="00D92E6D">
              <w:rPr>
                <w:sz w:val="20"/>
                <w:szCs w:val="18"/>
              </w:rPr>
              <w:t>0.028</w:t>
            </w:r>
          </w:p>
        </w:tc>
        <w:tc>
          <w:tcPr>
            <w:tcW w:w="1258" w:type="dxa"/>
            <w:noWrap/>
            <w:vAlign w:val="center"/>
            <w:hideMark/>
          </w:tcPr>
          <w:p w14:paraId="213A00E4" w14:textId="7BFAE513" w:rsidR="00D92E6D" w:rsidRPr="002F1671" w:rsidRDefault="00D92E6D" w:rsidP="001178C0">
            <w:pPr>
              <w:jc w:val="center"/>
              <w:rPr>
                <w:b/>
                <w:bCs/>
                <w:sz w:val="20"/>
                <w:szCs w:val="18"/>
              </w:rPr>
            </w:pPr>
            <w:r w:rsidRPr="002F1671">
              <w:rPr>
                <w:b/>
                <w:bCs/>
                <w:sz w:val="20"/>
                <w:szCs w:val="18"/>
              </w:rPr>
              <w:t>2.5 ± 0.31</w:t>
            </w:r>
          </w:p>
        </w:tc>
        <w:tc>
          <w:tcPr>
            <w:tcW w:w="1260" w:type="dxa"/>
            <w:noWrap/>
            <w:vAlign w:val="center"/>
            <w:hideMark/>
          </w:tcPr>
          <w:p w14:paraId="4940E798" w14:textId="633308D4" w:rsidR="00D92E6D" w:rsidRPr="002F1671" w:rsidRDefault="00D92E6D" w:rsidP="001178C0">
            <w:pPr>
              <w:jc w:val="center"/>
              <w:rPr>
                <w:b/>
                <w:bCs/>
                <w:sz w:val="20"/>
                <w:szCs w:val="18"/>
              </w:rPr>
            </w:pPr>
            <w:r w:rsidRPr="002F1671">
              <w:rPr>
                <w:b/>
                <w:bCs/>
                <w:sz w:val="20"/>
                <w:szCs w:val="18"/>
              </w:rPr>
              <w:t>2 ± 0.32</w:t>
            </w:r>
          </w:p>
        </w:tc>
        <w:tc>
          <w:tcPr>
            <w:tcW w:w="1260" w:type="dxa"/>
            <w:noWrap/>
            <w:vAlign w:val="center"/>
            <w:hideMark/>
          </w:tcPr>
          <w:p w14:paraId="5A0197F8" w14:textId="37E6A1D4" w:rsidR="00D92E6D" w:rsidRPr="00A128A8" w:rsidRDefault="00D92E6D" w:rsidP="001178C0">
            <w:pPr>
              <w:jc w:val="center"/>
              <w:rPr>
                <w:b/>
                <w:bCs/>
                <w:sz w:val="20"/>
                <w:szCs w:val="18"/>
              </w:rPr>
            </w:pPr>
            <w:r w:rsidRPr="00A128A8">
              <w:rPr>
                <w:b/>
                <w:bCs/>
                <w:sz w:val="20"/>
                <w:szCs w:val="18"/>
              </w:rPr>
              <w:t>1.4 ± 0.32</w:t>
            </w:r>
          </w:p>
        </w:tc>
        <w:tc>
          <w:tcPr>
            <w:tcW w:w="1260" w:type="dxa"/>
            <w:noWrap/>
            <w:vAlign w:val="center"/>
            <w:hideMark/>
          </w:tcPr>
          <w:p w14:paraId="0A2FF890" w14:textId="25DB22AD" w:rsidR="00D92E6D" w:rsidRPr="00A128A8" w:rsidRDefault="00D92E6D" w:rsidP="001178C0">
            <w:pPr>
              <w:jc w:val="center"/>
              <w:rPr>
                <w:b/>
                <w:bCs/>
                <w:sz w:val="20"/>
                <w:szCs w:val="18"/>
              </w:rPr>
            </w:pPr>
            <w:r w:rsidRPr="00A128A8">
              <w:rPr>
                <w:b/>
                <w:bCs/>
                <w:sz w:val="20"/>
                <w:szCs w:val="18"/>
              </w:rPr>
              <w:t>2 ± 0.29</w:t>
            </w:r>
          </w:p>
        </w:tc>
        <w:tc>
          <w:tcPr>
            <w:tcW w:w="1260" w:type="dxa"/>
            <w:noWrap/>
            <w:vAlign w:val="center"/>
            <w:hideMark/>
          </w:tcPr>
          <w:p w14:paraId="6D5F5C44" w14:textId="77777777" w:rsidR="00D92E6D" w:rsidRPr="00A128A8" w:rsidRDefault="00D92E6D" w:rsidP="001178C0">
            <w:pPr>
              <w:jc w:val="center"/>
              <w:rPr>
                <w:b/>
                <w:bCs/>
                <w:sz w:val="20"/>
                <w:szCs w:val="18"/>
              </w:rPr>
            </w:pPr>
            <w:r w:rsidRPr="00A128A8">
              <w:rPr>
                <w:b/>
                <w:bCs/>
                <w:sz w:val="20"/>
                <w:szCs w:val="18"/>
              </w:rPr>
              <w:t>0.9 ± 0.37</w:t>
            </w:r>
          </w:p>
        </w:tc>
        <w:tc>
          <w:tcPr>
            <w:tcW w:w="992" w:type="dxa"/>
            <w:noWrap/>
            <w:vAlign w:val="center"/>
            <w:hideMark/>
          </w:tcPr>
          <w:p w14:paraId="7E638021" w14:textId="77777777" w:rsidR="00D92E6D" w:rsidRPr="002F1671" w:rsidRDefault="00D92E6D" w:rsidP="001178C0">
            <w:pPr>
              <w:jc w:val="center"/>
              <w:rPr>
                <w:sz w:val="20"/>
                <w:szCs w:val="18"/>
              </w:rPr>
            </w:pPr>
            <w:r w:rsidRPr="002F1671">
              <w:rPr>
                <w:sz w:val="20"/>
                <w:szCs w:val="18"/>
              </w:rPr>
              <w:t>0.2 ± 0.29</w:t>
            </w:r>
          </w:p>
        </w:tc>
        <w:tc>
          <w:tcPr>
            <w:tcW w:w="993" w:type="dxa"/>
            <w:noWrap/>
            <w:vAlign w:val="center"/>
            <w:hideMark/>
          </w:tcPr>
          <w:p w14:paraId="4A3773B0" w14:textId="77777777" w:rsidR="00D92E6D" w:rsidRPr="002F1671" w:rsidRDefault="00D92E6D" w:rsidP="001178C0">
            <w:pPr>
              <w:jc w:val="center"/>
              <w:rPr>
                <w:sz w:val="20"/>
                <w:szCs w:val="18"/>
              </w:rPr>
            </w:pPr>
            <w:r w:rsidRPr="002F1671">
              <w:rPr>
                <w:sz w:val="20"/>
                <w:szCs w:val="18"/>
              </w:rPr>
              <w:t>-0.2 ± 0.29</w:t>
            </w:r>
          </w:p>
        </w:tc>
      </w:tr>
      <w:tr w:rsidR="00D92E6D" w:rsidRPr="00D92E6D" w14:paraId="4341E8F3" w14:textId="77777777" w:rsidTr="00CE1917">
        <w:tc>
          <w:tcPr>
            <w:tcW w:w="2070" w:type="dxa"/>
            <w:vMerge/>
            <w:noWrap/>
            <w:vAlign w:val="center"/>
          </w:tcPr>
          <w:p w14:paraId="4FBD8808" w14:textId="531763A5" w:rsidR="00D92E6D" w:rsidRPr="00D92E6D" w:rsidRDefault="00D92E6D" w:rsidP="00CE1917">
            <w:pPr>
              <w:rPr>
                <w:sz w:val="20"/>
                <w:szCs w:val="18"/>
              </w:rPr>
            </w:pPr>
          </w:p>
        </w:tc>
        <w:tc>
          <w:tcPr>
            <w:tcW w:w="1388" w:type="dxa"/>
            <w:vMerge/>
            <w:noWrap/>
            <w:vAlign w:val="center"/>
          </w:tcPr>
          <w:p w14:paraId="35186C81" w14:textId="275A6D14" w:rsidR="00D92E6D" w:rsidRPr="00D92E6D" w:rsidRDefault="00D92E6D" w:rsidP="00CE1917">
            <w:pPr>
              <w:rPr>
                <w:sz w:val="20"/>
                <w:szCs w:val="18"/>
              </w:rPr>
            </w:pPr>
          </w:p>
        </w:tc>
        <w:tc>
          <w:tcPr>
            <w:tcW w:w="778" w:type="dxa"/>
            <w:tcBorders>
              <w:right w:val="single" w:sz="4" w:space="0" w:color="auto"/>
            </w:tcBorders>
            <w:noWrap/>
            <w:vAlign w:val="center"/>
            <w:hideMark/>
          </w:tcPr>
          <w:p w14:paraId="0507634A" w14:textId="77777777" w:rsidR="00D92E6D" w:rsidRPr="00D92E6D" w:rsidRDefault="00D92E6D" w:rsidP="00E9675C">
            <w:pPr>
              <w:rPr>
                <w:sz w:val="20"/>
                <w:szCs w:val="18"/>
              </w:rPr>
            </w:pPr>
            <w:r w:rsidRPr="00D92E6D">
              <w:rPr>
                <w:sz w:val="20"/>
                <w:szCs w:val="18"/>
              </w:rPr>
              <w:t>ASV361</w:t>
            </w:r>
          </w:p>
        </w:tc>
        <w:tc>
          <w:tcPr>
            <w:tcW w:w="810" w:type="dxa"/>
            <w:tcBorders>
              <w:left w:val="single" w:sz="4" w:space="0" w:color="auto"/>
            </w:tcBorders>
            <w:noWrap/>
            <w:vAlign w:val="center"/>
            <w:hideMark/>
          </w:tcPr>
          <w:p w14:paraId="0778B9DF" w14:textId="77777777" w:rsidR="00D92E6D" w:rsidRPr="00D92E6D" w:rsidRDefault="00D92E6D" w:rsidP="00E9675C">
            <w:pPr>
              <w:jc w:val="center"/>
              <w:rPr>
                <w:sz w:val="20"/>
                <w:szCs w:val="18"/>
              </w:rPr>
            </w:pPr>
            <w:r w:rsidRPr="00D92E6D">
              <w:rPr>
                <w:sz w:val="20"/>
                <w:szCs w:val="18"/>
              </w:rPr>
              <w:t>18</w:t>
            </w:r>
          </w:p>
        </w:tc>
        <w:tc>
          <w:tcPr>
            <w:tcW w:w="810" w:type="dxa"/>
            <w:noWrap/>
            <w:vAlign w:val="center"/>
            <w:hideMark/>
          </w:tcPr>
          <w:p w14:paraId="3D7F4507" w14:textId="77777777" w:rsidR="00D92E6D" w:rsidRPr="00D92E6D" w:rsidRDefault="00D92E6D" w:rsidP="001178C0">
            <w:pPr>
              <w:jc w:val="center"/>
              <w:rPr>
                <w:sz w:val="20"/>
                <w:szCs w:val="18"/>
              </w:rPr>
            </w:pPr>
            <w:r w:rsidRPr="00D92E6D">
              <w:rPr>
                <w:sz w:val="20"/>
                <w:szCs w:val="18"/>
              </w:rPr>
              <w:t>0.028</w:t>
            </w:r>
          </w:p>
        </w:tc>
        <w:tc>
          <w:tcPr>
            <w:tcW w:w="1258" w:type="dxa"/>
            <w:noWrap/>
            <w:vAlign w:val="center"/>
            <w:hideMark/>
          </w:tcPr>
          <w:p w14:paraId="5687ED0A" w14:textId="62CE0676" w:rsidR="00D92E6D" w:rsidRPr="002F1671" w:rsidRDefault="00D92E6D" w:rsidP="001178C0">
            <w:pPr>
              <w:jc w:val="center"/>
              <w:rPr>
                <w:b/>
                <w:bCs/>
                <w:sz w:val="20"/>
                <w:szCs w:val="18"/>
              </w:rPr>
            </w:pPr>
            <w:r w:rsidRPr="002F1671">
              <w:rPr>
                <w:b/>
                <w:bCs/>
                <w:sz w:val="20"/>
                <w:szCs w:val="18"/>
              </w:rPr>
              <w:t>1.7 ± 0.32</w:t>
            </w:r>
          </w:p>
        </w:tc>
        <w:tc>
          <w:tcPr>
            <w:tcW w:w="1260" w:type="dxa"/>
            <w:noWrap/>
            <w:vAlign w:val="center"/>
            <w:hideMark/>
          </w:tcPr>
          <w:p w14:paraId="379D8E1F" w14:textId="14DABEE0" w:rsidR="00D92E6D" w:rsidRPr="002F1671" w:rsidRDefault="00D92E6D" w:rsidP="001178C0">
            <w:pPr>
              <w:jc w:val="center"/>
              <w:rPr>
                <w:b/>
                <w:bCs/>
                <w:sz w:val="20"/>
                <w:szCs w:val="18"/>
              </w:rPr>
            </w:pPr>
            <w:r w:rsidRPr="002F1671">
              <w:rPr>
                <w:b/>
                <w:bCs/>
                <w:sz w:val="20"/>
                <w:szCs w:val="18"/>
              </w:rPr>
              <w:t>2.7 ± 0.33</w:t>
            </w:r>
          </w:p>
        </w:tc>
        <w:tc>
          <w:tcPr>
            <w:tcW w:w="1260" w:type="dxa"/>
            <w:noWrap/>
            <w:vAlign w:val="center"/>
            <w:hideMark/>
          </w:tcPr>
          <w:p w14:paraId="32620DE9" w14:textId="26D96155" w:rsidR="00D92E6D" w:rsidRPr="00A128A8" w:rsidRDefault="00D92E6D" w:rsidP="001178C0">
            <w:pPr>
              <w:jc w:val="center"/>
              <w:rPr>
                <w:b/>
                <w:bCs/>
                <w:sz w:val="20"/>
                <w:szCs w:val="18"/>
              </w:rPr>
            </w:pPr>
            <w:r w:rsidRPr="00A128A8">
              <w:rPr>
                <w:b/>
                <w:bCs/>
                <w:sz w:val="20"/>
                <w:szCs w:val="18"/>
              </w:rPr>
              <w:t>1.5 ± 0.34</w:t>
            </w:r>
          </w:p>
        </w:tc>
        <w:tc>
          <w:tcPr>
            <w:tcW w:w="1260" w:type="dxa"/>
            <w:noWrap/>
            <w:vAlign w:val="center"/>
            <w:hideMark/>
          </w:tcPr>
          <w:p w14:paraId="76BC6488" w14:textId="7C77B811" w:rsidR="00D92E6D" w:rsidRPr="00A128A8" w:rsidRDefault="00D92E6D" w:rsidP="001178C0">
            <w:pPr>
              <w:jc w:val="center"/>
              <w:rPr>
                <w:b/>
                <w:bCs/>
                <w:sz w:val="20"/>
                <w:szCs w:val="18"/>
              </w:rPr>
            </w:pPr>
            <w:r w:rsidRPr="00A128A8">
              <w:rPr>
                <w:b/>
                <w:bCs/>
                <w:sz w:val="20"/>
                <w:szCs w:val="18"/>
              </w:rPr>
              <w:t>2.3 ± 0.31</w:t>
            </w:r>
          </w:p>
        </w:tc>
        <w:tc>
          <w:tcPr>
            <w:tcW w:w="1260" w:type="dxa"/>
            <w:noWrap/>
            <w:vAlign w:val="center"/>
            <w:hideMark/>
          </w:tcPr>
          <w:p w14:paraId="34699AC9" w14:textId="77777777" w:rsidR="00D92E6D" w:rsidRPr="002F1671" w:rsidRDefault="00D92E6D" w:rsidP="001178C0">
            <w:pPr>
              <w:jc w:val="center"/>
              <w:rPr>
                <w:sz w:val="20"/>
                <w:szCs w:val="18"/>
              </w:rPr>
            </w:pPr>
            <w:r w:rsidRPr="002F1671">
              <w:rPr>
                <w:sz w:val="20"/>
                <w:szCs w:val="18"/>
              </w:rPr>
              <w:t>0 ± 0.17</w:t>
            </w:r>
          </w:p>
        </w:tc>
        <w:tc>
          <w:tcPr>
            <w:tcW w:w="992" w:type="dxa"/>
            <w:noWrap/>
            <w:vAlign w:val="center"/>
            <w:hideMark/>
          </w:tcPr>
          <w:p w14:paraId="5263E1B7" w14:textId="77777777" w:rsidR="00D92E6D" w:rsidRPr="00A128A8" w:rsidRDefault="00D92E6D" w:rsidP="001178C0">
            <w:pPr>
              <w:jc w:val="center"/>
              <w:rPr>
                <w:b/>
                <w:bCs/>
                <w:sz w:val="20"/>
                <w:szCs w:val="18"/>
              </w:rPr>
            </w:pPr>
            <w:r w:rsidRPr="00A128A8">
              <w:rPr>
                <w:b/>
                <w:bCs/>
                <w:sz w:val="20"/>
                <w:szCs w:val="18"/>
              </w:rPr>
              <w:t>0.4 ± 0.13</w:t>
            </w:r>
          </w:p>
        </w:tc>
        <w:tc>
          <w:tcPr>
            <w:tcW w:w="993" w:type="dxa"/>
            <w:noWrap/>
            <w:vAlign w:val="center"/>
            <w:hideMark/>
          </w:tcPr>
          <w:p w14:paraId="5CD71B5F" w14:textId="77777777" w:rsidR="00D92E6D" w:rsidRPr="002F1671" w:rsidRDefault="00D92E6D" w:rsidP="001178C0">
            <w:pPr>
              <w:jc w:val="center"/>
              <w:rPr>
                <w:sz w:val="20"/>
                <w:szCs w:val="18"/>
              </w:rPr>
            </w:pPr>
            <w:r w:rsidRPr="002F1671">
              <w:rPr>
                <w:sz w:val="20"/>
                <w:szCs w:val="18"/>
              </w:rPr>
              <w:t>0 ± 0.13</w:t>
            </w:r>
          </w:p>
        </w:tc>
      </w:tr>
      <w:tr w:rsidR="00D92E6D" w:rsidRPr="00D92E6D" w14:paraId="2B290003" w14:textId="77777777" w:rsidTr="00CE1917">
        <w:tc>
          <w:tcPr>
            <w:tcW w:w="2070" w:type="dxa"/>
            <w:noWrap/>
            <w:vAlign w:val="center"/>
            <w:hideMark/>
          </w:tcPr>
          <w:p w14:paraId="52927929" w14:textId="77777777" w:rsidR="00D92E6D" w:rsidRPr="00D92E6D" w:rsidRDefault="00D92E6D" w:rsidP="00CE1917">
            <w:pPr>
              <w:rPr>
                <w:sz w:val="20"/>
                <w:szCs w:val="18"/>
              </w:rPr>
            </w:pPr>
            <w:r w:rsidRPr="00D92E6D">
              <w:rPr>
                <w:sz w:val="20"/>
                <w:szCs w:val="18"/>
              </w:rPr>
              <w:t>Saccharospirillaceae</w:t>
            </w:r>
          </w:p>
        </w:tc>
        <w:tc>
          <w:tcPr>
            <w:tcW w:w="1388" w:type="dxa"/>
            <w:noWrap/>
            <w:vAlign w:val="center"/>
            <w:hideMark/>
          </w:tcPr>
          <w:p w14:paraId="583EED4A" w14:textId="77777777" w:rsidR="00D92E6D" w:rsidRPr="00D92E6D" w:rsidRDefault="00D92E6D" w:rsidP="00CE1917">
            <w:pPr>
              <w:rPr>
                <w:sz w:val="20"/>
                <w:szCs w:val="18"/>
              </w:rPr>
            </w:pPr>
            <w:r w:rsidRPr="00D92E6D">
              <w:rPr>
                <w:sz w:val="20"/>
                <w:szCs w:val="18"/>
              </w:rPr>
              <w:t>Thalassolituus</w:t>
            </w:r>
          </w:p>
        </w:tc>
        <w:tc>
          <w:tcPr>
            <w:tcW w:w="778" w:type="dxa"/>
            <w:tcBorders>
              <w:right w:val="single" w:sz="4" w:space="0" w:color="auto"/>
            </w:tcBorders>
            <w:noWrap/>
            <w:vAlign w:val="center"/>
            <w:hideMark/>
          </w:tcPr>
          <w:p w14:paraId="01221018" w14:textId="77777777" w:rsidR="00D92E6D" w:rsidRPr="00D92E6D" w:rsidRDefault="00D92E6D" w:rsidP="00E9675C">
            <w:pPr>
              <w:rPr>
                <w:sz w:val="20"/>
                <w:szCs w:val="18"/>
              </w:rPr>
            </w:pPr>
            <w:r w:rsidRPr="00D92E6D">
              <w:rPr>
                <w:sz w:val="20"/>
                <w:szCs w:val="18"/>
              </w:rPr>
              <w:t>ASV26</w:t>
            </w:r>
          </w:p>
        </w:tc>
        <w:tc>
          <w:tcPr>
            <w:tcW w:w="810" w:type="dxa"/>
            <w:tcBorders>
              <w:left w:val="single" w:sz="4" w:space="0" w:color="auto"/>
            </w:tcBorders>
            <w:noWrap/>
            <w:vAlign w:val="center"/>
            <w:hideMark/>
          </w:tcPr>
          <w:p w14:paraId="12D024E4" w14:textId="77777777" w:rsidR="00D92E6D" w:rsidRPr="00D92E6D" w:rsidRDefault="00D92E6D" w:rsidP="00E9675C">
            <w:pPr>
              <w:jc w:val="center"/>
              <w:rPr>
                <w:sz w:val="20"/>
                <w:szCs w:val="18"/>
              </w:rPr>
            </w:pPr>
            <w:r w:rsidRPr="00D92E6D">
              <w:rPr>
                <w:sz w:val="20"/>
                <w:szCs w:val="18"/>
              </w:rPr>
              <w:t>4.5</w:t>
            </w:r>
          </w:p>
        </w:tc>
        <w:tc>
          <w:tcPr>
            <w:tcW w:w="810" w:type="dxa"/>
            <w:noWrap/>
            <w:vAlign w:val="center"/>
            <w:hideMark/>
          </w:tcPr>
          <w:p w14:paraId="5623ECD6"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3B41A0F3" w14:textId="17DD5B3D" w:rsidR="00D92E6D" w:rsidRPr="002F1671" w:rsidRDefault="00D92E6D" w:rsidP="001178C0">
            <w:pPr>
              <w:jc w:val="center"/>
              <w:rPr>
                <w:b/>
                <w:bCs/>
                <w:sz w:val="20"/>
                <w:szCs w:val="18"/>
              </w:rPr>
            </w:pPr>
            <w:r w:rsidRPr="002F1671">
              <w:rPr>
                <w:b/>
                <w:bCs/>
                <w:sz w:val="20"/>
                <w:szCs w:val="18"/>
              </w:rPr>
              <w:t>4 ± 0.51</w:t>
            </w:r>
          </w:p>
        </w:tc>
        <w:tc>
          <w:tcPr>
            <w:tcW w:w="1260" w:type="dxa"/>
            <w:noWrap/>
            <w:vAlign w:val="center"/>
            <w:hideMark/>
          </w:tcPr>
          <w:p w14:paraId="5FC86C48" w14:textId="2201FEC4" w:rsidR="00D92E6D" w:rsidRPr="002F1671" w:rsidRDefault="00D92E6D" w:rsidP="001178C0">
            <w:pPr>
              <w:jc w:val="center"/>
              <w:rPr>
                <w:b/>
                <w:bCs/>
                <w:sz w:val="20"/>
                <w:szCs w:val="18"/>
              </w:rPr>
            </w:pPr>
            <w:r w:rsidRPr="002F1671">
              <w:rPr>
                <w:b/>
                <w:bCs/>
                <w:sz w:val="20"/>
                <w:szCs w:val="18"/>
              </w:rPr>
              <w:t>5.8 ± 0.53</w:t>
            </w:r>
          </w:p>
        </w:tc>
        <w:tc>
          <w:tcPr>
            <w:tcW w:w="1260" w:type="dxa"/>
            <w:noWrap/>
            <w:vAlign w:val="center"/>
            <w:hideMark/>
          </w:tcPr>
          <w:p w14:paraId="26EEF67A" w14:textId="4197633E" w:rsidR="00D92E6D" w:rsidRPr="00A128A8" w:rsidRDefault="00D92E6D" w:rsidP="001178C0">
            <w:pPr>
              <w:jc w:val="center"/>
              <w:rPr>
                <w:b/>
                <w:bCs/>
                <w:sz w:val="20"/>
                <w:szCs w:val="18"/>
              </w:rPr>
            </w:pPr>
            <w:r w:rsidRPr="00A128A8">
              <w:rPr>
                <w:b/>
                <w:bCs/>
                <w:sz w:val="20"/>
                <w:szCs w:val="18"/>
              </w:rPr>
              <w:t>3 ± 0.53</w:t>
            </w:r>
          </w:p>
        </w:tc>
        <w:tc>
          <w:tcPr>
            <w:tcW w:w="1260" w:type="dxa"/>
            <w:noWrap/>
            <w:vAlign w:val="center"/>
            <w:hideMark/>
          </w:tcPr>
          <w:p w14:paraId="38726483" w14:textId="67C72AA5" w:rsidR="00D92E6D" w:rsidRPr="00A128A8" w:rsidRDefault="00D92E6D" w:rsidP="001178C0">
            <w:pPr>
              <w:jc w:val="center"/>
              <w:rPr>
                <w:b/>
                <w:bCs/>
                <w:sz w:val="20"/>
                <w:szCs w:val="18"/>
              </w:rPr>
            </w:pPr>
            <w:r w:rsidRPr="00A128A8">
              <w:rPr>
                <w:b/>
                <w:bCs/>
                <w:sz w:val="20"/>
                <w:szCs w:val="18"/>
              </w:rPr>
              <w:t>5.2 ± 0.48</w:t>
            </w:r>
          </w:p>
        </w:tc>
        <w:tc>
          <w:tcPr>
            <w:tcW w:w="1260" w:type="dxa"/>
            <w:noWrap/>
            <w:vAlign w:val="center"/>
            <w:hideMark/>
          </w:tcPr>
          <w:p w14:paraId="1786C64A" w14:textId="77777777" w:rsidR="00D92E6D" w:rsidRPr="002F1671" w:rsidRDefault="00D92E6D" w:rsidP="001178C0">
            <w:pPr>
              <w:jc w:val="center"/>
              <w:rPr>
                <w:sz w:val="20"/>
                <w:szCs w:val="18"/>
              </w:rPr>
            </w:pPr>
            <w:r w:rsidRPr="002F1671">
              <w:rPr>
                <w:sz w:val="20"/>
                <w:szCs w:val="18"/>
              </w:rPr>
              <w:t>-0.2 ± 0.86</w:t>
            </w:r>
          </w:p>
        </w:tc>
        <w:tc>
          <w:tcPr>
            <w:tcW w:w="992" w:type="dxa"/>
            <w:noWrap/>
            <w:vAlign w:val="center"/>
            <w:hideMark/>
          </w:tcPr>
          <w:p w14:paraId="2871D06A" w14:textId="77777777" w:rsidR="00D92E6D" w:rsidRPr="00A128A8" w:rsidRDefault="00D92E6D" w:rsidP="001178C0">
            <w:pPr>
              <w:jc w:val="center"/>
              <w:rPr>
                <w:b/>
                <w:bCs/>
                <w:sz w:val="20"/>
                <w:szCs w:val="18"/>
              </w:rPr>
            </w:pPr>
            <w:r w:rsidRPr="00A128A8">
              <w:rPr>
                <w:b/>
                <w:bCs/>
                <w:sz w:val="20"/>
                <w:szCs w:val="18"/>
              </w:rPr>
              <w:t>1.5 ± 0.64</w:t>
            </w:r>
          </w:p>
        </w:tc>
        <w:tc>
          <w:tcPr>
            <w:tcW w:w="993" w:type="dxa"/>
            <w:noWrap/>
            <w:vAlign w:val="center"/>
            <w:hideMark/>
          </w:tcPr>
          <w:p w14:paraId="31552995" w14:textId="77777777" w:rsidR="00D92E6D" w:rsidRPr="002F1671" w:rsidRDefault="00D92E6D" w:rsidP="001178C0">
            <w:pPr>
              <w:jc w:val="center"/>
              <w:rPr>
                <w:sz w:val="20"/>
                <w:szCs w:val="18"/>
              </w:rPr>
            </w:pPr>
            <w:r w:rsidRPr="002F1671">
              <w:rPr>
                <w:sz w:val="20"/>
                <w:szCs w:val="18"/>
              </w:rPr>
              <w:t>-0.3 ± 0.66</w:t>
            </w:r>
          </w:p>
        </w:tc>
      </w:tr>
      <w:tr w:rsidR="00D92E6D" w:rsidRPr="00D92E6D" w14:paraId="694CBFF0" w14:textId="77777777" w:rsidTr="00CE1917">
        <w:tc>
          <w:tcPr>
            <w:tcW w:w="2070" w:type="dxa"/>
            <w:tcBorders>
              <w:bottom w:val="single" w:sz="4" w:space="0" w:color="auto"/>
            </w:tcBorders>
            <w:noWrap/>
            <w:vAlign w:val="center"/>
            <w:hideMark/>
          </w:tcPr>
          <w:p w14:paraId="5EF2467C" w14:textId="77777777" w:rsidR="00D92E6D" w:rsidRPr="00D92E6D" w:rsidRDefault="00D92E6D" w:rsidP="00CE1917">
            <w:pPr>
              <w:rPr>
                <w:sz w:val="20"/>
                <w:szCs w:val="18"/>
              </w:rPr>
            </w:pPr>
            <w:r w:rsidRPr="00D92E6D">
              <w:rPr>
                <w:sz w:val="20"/>
                <w:szCs w:val="18"/>
              </w:rPr>
              <w:t>Vibrionaceae</w:t>
            </w:r>
          </w:p>
        </w:tc>
        <w:tc>
          <w:tcPr>
            <w:tcW w:w="1388" w:type="dxa"/>
            <w:tcBorders>
              <w:bottom w:val="single" w:sz="4" w:space="0" w:color="auto"/>
            </w:tcBorders>
            <w:noWrap/>
            <w:vAlign w:val="center"/>
            <w:hideMark/>
          </w:tcPr>
          <w:p w14:paraId="0F86E342" w14:textId="77777777" w:rsidR="00D92E6D" w:rsidRPr="00D92E6D" w:rsidRDefault="00D92E6D" w:rsidP="00CE1917">
            <w:pPr>
              <w:rPr>
                <w:sz w:val="20"/>
                <w:szCs w:val="18"/>
              </w:rPr>
            </w:pPr>
            <w:r w:rsidRPr="00D92E6D">
              <w:rPr>
                <w:sz w:val="20"/>
                <w:szCs w:val="18"/>
              </w:rPr>
              <w:t>Aliivibrio</w:t>
            </w:r>
          </w:p>
        </w:tc>
        <w:tc>
          <w:tcPr>
            <w:tcW w:w="778" w:type="dxa"/>
            <w:tcBorders>
              <w:bottom w:val="single" w:sz="4" w:space="0" w:color="auto"/>
              <w:right w:val="single" w:sz="4" w:space="0" w:color="auto"/>
            </w:tcBorders>
            <w:noWrap/>
            <w:vAlign w:val="center"/>
            <w:hideMark/>
          </w:tcPr>
          <w:p w14:paraId="44C91725" w14:textId="77777777" w:rsidR="00D92E6D" w:rsidRPr="00D92E6D" w:rsidRDefault="00D92E6D" w:rsidP="00E9675C">
            <w:pPr>
              <w:rPr>
                <w:sz w:val="20"/>
                <w:szCs w:val="18"/>
              </w:rPr>
            </w:pPr>
            <w:r w:rsidRPr="00D92E6D">
              <w:rPr>
                <w:sz w:val="20"/>
                <w:szCs w:val="18"/>
              </w:rPr>
              <w:t>ASV8</w:t>
            </w:r>
          </w:p>
        </w:tc>
        <w:tc>
          <w:tcPr>
            <w:tcW w:w="810" w:type="dxa"/>
            <w:tcBorders>
              <w:left w:val="single" w:sz="4" w:space="0" w:color="auto"/>
              <w:bottom w:val="single" w:sz="4" w:space="0" w:color="auto"/>
            </w:tcBorders>
            <w:noWrap/>
            <w:vAlign w:val="center"/>
            <w:hideMark/>
          </w:tcPr>
          <w:p w14:paraId="7189BACF" w14:textId="77777777" w:rsidR="00D92E6D" w:rsidRPr="00D92E6D" w:rsidRDefault="00D92E6D" w:rsidP="00E9675C">
            <w:pPr>
              <w:jc w:val="center"/>
              <w:rPr>
                <w:sz w:val="20"/>
                <w:szCs w:val="18"/>
              </w:rPr>
            </w:pPr>
            <w:r w:rsidRPr="00D92E6D">
              <w:rPr>
                <w:sz w:val="20"/>
                <w:szCs w:val="18"/>
              </w:rPr>
              <w:t>3</w:t>
            </w:r>
          </w:p>
        </w:tc>
        <w:tc>
          <w:tcPr>
            <w:tcW w:w="810" w:type="dxa"/>
            <w:tcBorders>
              <w:bottom w:val="single" w:sz="4" w:space="0" w:color="auto"/>
            </w:tcBorders>
            <w:noWrap/>
            <w:vAlign w:val="center"/>
            <w:hideMark/>
          </w:tcPr>
          <w:p w14:paraId="4BD08545" w14:textId="77777777" w:rsidR="00D92E6D" w:rsidRPr="00D92E6D" w:rsidRDefault="00D92E6D" w:rsidP="001178C0">
            <w:pPr>
              <w:jc w:val="center"/>
              <w:rPr>
                <w:sz w:val="20"/>
                <w:szCs w:val="18"/>
              </w:rPr>
            </w:pPr>
            <w:r w:rsidRPr="00D92E6D">
              <w:rPr>
                <w:sz w:val="20"/>
                <w:szCs w:val="18"/>
              </w:rPr>
              <w:t>0.022</w:t>
            </w:r>
          </w:p>
        </w:tc>
        <w:tc>
          <w:tcPr>
            <w:tcW w:w="1258" w:type="dxa"/>
            <w:tcBorders>
              <w:bottom w:val="single" w:sz="4" w:space="0" w:color="auto"/>
            </w:tcBorders>
            <w:noWrap/>
            <w:vAlign w:val="center"/>
            <w:hideMark/>
          </w:tcPr>
          <w:p w14:paraId="19957B77" w14:textId="5EBBF613" w:rsidR="00D92E6D" w:rsidRPr="002F1671" w:rsidRDefault="00D92E6D" w:rsidP="001178C0">
            <w:pPr>
              <w:jc w:val="center"/>
              <w:rPr>
                <w:b/>
                <w:bCs/>
                <w:sz w:val="20"/>
                <w:szCs w:val="18"/>
              </w:rPr>
            </w:pPr>
            <w:r w:rsidRPr="002F1671">
              <w:rPr>
                <w:b/>
                <w:bCs/>
                <w:sz w:val="20"/>
                <w:szCs w:val="18"/>
              </w:rPr>
              <w:t>4.9 ± 0.6</w:t>
            </w:r>
          </w:p>
        </w:tc>
        <w:tc>
          <w:tcPr>
            <w:tcW w:w="1260" w:type="dxa"/>
            <w:tcBorders>
              <w:bottom w:val="single" w:sz="4" w:space="0" w:color="auto"/>
            </w:tcBorders>
            <w:noWrap/>
            <w:vAlign w:val="center"/>
            <w:hideMark/>
          </w:tcPr>
          <w:p w14:paraId="16AE3E14" w14:textId="6BDC1396" w:rsidR="00D92E6D" w:rsidRPr="002F1671" w:rsidRDefault="00D92E6D" w:rsidP="001178C0">
            <w:pPr>
              <w:jc w:val="center"/>
              <w:rPr>
                <w:b/>
                <w:bCs/>
                <w:sz w:val="20"/>
                <w:szCs w:val="18"/>
              </w:rPr>
            </w:pPr>
            <w:r w:rsidRPr="002F1671">
              <w:rPr>
                <w:b/>
                <w:bCs/>
                <w:sz w:val="20"/>
                <w:szCs w:val="18"/>
              </w:rPr>
              <w:t>9.6 ± 0.62</w:t>
            </w:r>
          </w:p>
        </w:tc>
        <w:tc>
          <w:tcPr>
            <w:tcW w:w="1260" w:type="dxa"/>
            <w:tcBorders>
              <w:bottom w:val="single" w:sz="4" w:space="0" w:color="auto"/>
            </w:tcBorders>
            <w:noWrap/>
            <w:vAlign w:val="center"/>
            <w:hideMark/>
          </w:tcPr>
          <w:p w14:paraId="3590416F" w14:textId="74E855C7" w:rsidR="00D92E6D" w:rsidRPr="00A128A8" w:rsidRDefault="00D92E6D" w:rsidP="001178C0">
            <w:pPr>
              <w:jc w:val="center"/>
              <w:rPr>
                <w:b/>
                <w:bCs/>
                <w:sz w:val="20"/>
                <w:szCs w:val="18"/>
              </w:rPr>
            </w:pPr>
            <w:r w:rsidRPr="00A128A8">
              <w:rPr>
                <w:b/>
                <w:bCs/>
                <w:sz w:val="20"/>
                <w:szCs w:val="18"/>
              </w:rPr>
              <w:t>5.7 ± 0.62</w:t>
            </w:r>
          </w:p>
        </w:tc>
        <w:tc>
          <w:tcPr>
            <w:tcW w:w="1260" w:type="dxa"/>
            <w:tcBorders>
              <w:bottom w:val="single" w:sz="4" w:space="0" w:color="auto"/>
            </w:tcBorders>
            <w:noWrap/>
            <w:vAlign w:val="center"/>
            <w:hideMark/>
          </w:tcPr>
          <w:p w14:paraId="7A2B13B1" w14:textId="102FAFE7" w:rsidR="00D92E6D" w:rsidRPr="00A128A8" w:rsidRDefault="00D92E6D" w:rsidP="001178C0">
            <w:pPr>
              <w:jc w:val="center"/>
              <w:rPr>
                <w:b/>
                <w:bCs/>
                <w:sz w:val="20"/>
                <w:szCs w:val="18"/>
              </w:rPr>
            </w:pPr>
            <w:r w:rsidRPr="00A128A8">
              <w:rPr>
                <w:b/>
                <w:bCs/>
                <w:sz w:val="20"/>
                <w:szCs w:val="18"/>
              </w:rPr>
              <w:t>7.2 ± 0.57</w:t>
            </w:r>
          </w:p>
        </w:tc>
        <w:tc>
          <w:tcPr>
            <w:tcW w:w="1260" w:type="dxa"/>
            <w:tcBorders>
              <w:bottom w:val="single" w:sz="4" w:space="0" w:color="auto"/>
            </w:tcBorders>
            <w:noWrap/>
            <w:vAlign w:val="center"/>
            <w:hideMark/>
          </w:tcPr>
          <w:p w14:paraId="619F5B5E" w14:textId="77777777" w:rsidR="00D92E6D" w:rsidRPr="00A128A8" w:rsidRDefault="00D92E6D" w:rsidP="001178C0">
            <w:pPr>
              <w:jc w:val="center"/>
              <w:rPr>
                <w:b/>
                <w:bCs/>
                <w:sz w:val="20"/>
                <w:szCs w:val="18"/>
              </w:rPr>
            </w:pPr>
            <w:r w:rsidRPr="00A128A8">
              <w:rPr>
                <w:b/>
                <w:bCs/>
                <w:sz w:val="20"/>
                <w:szCs w:val="18"/>
              </w:rPr>
              <w:t>3.3 ± 1.43</w:t>
            </w:r>
          </w:p>
        </w:tc>
        <w:tc>
          <w:tcPr>
            <w:tcW w:w="992" w:type="dxa"/>
            <w:tcBorders>
              <w:bottom w:val="single" w:sz="4" w:space="0" w:color="auto"/>
            </w:tcBorders>
            <w:noWrap/>
            <w:vAlign w:val="center"/>
            <w:hideMark/>
          </w:tcPr>
          <w:p w14:paraId="39811EE8" w14:textId="77777777" w:rsidR="00D92E6D" w:rsidRPr="00A128A8" w:rsidRDefault="00D92E6D" w:rsidP="001178C0">
            <w:pPr>
              <w:jc w:val="center"/>
              <w:rPr>
                <w:b/>
                <w:bCs/>
                <w:sz w:val="20"/>
                <w:szCs w:val="18"/>
              </w:rPr>
            </w:pPr>
            <w:r w:rsidRPr="00A128A8">
              <w:rPr>
                <w:b/>
                <w:bCs/>
                <w:sz w:val="20"/>
                <w:szCs w:val="18"/>
              </w:rPr>
              <w:t>2.4 ± 1.07</w:t>
            </w:r>
          </w:p>
        </w:tc>
        <w:tc>
          <w:tcPr>
            <w:tcW w:w="993" w:type="dxa"/>
            <w:tcBorders>
              <w:bottom w:val="single" w:sz="4" w:space="0" w:color="auto"/>
            </w:tcBorders>
            <w:noWrap/>
            <w:vAlign w:val="center"/>
            <w:hideMark/>
          </w:tcPr>
          <w:p w14:paraId="298B8A7E" w14:textId="77777777" w:rsidR="00D92E6D" w:rsidRPr="002F1671" w:rsidRDefault="00D92E6D" w:rsidP="001178C0">
            <w:pPr>
              <w:jc w:val="center"/>
              <w:rPr>
                <w:sz w:val="20"/>
                <w:szCs w:val="18"/>
              </w:rPr>
            </w:pPr>
            <w:r w:rsidRPr="002F1671">
              <w:rPr>
                <w:sz w:val="20"/>
                <w:szCs w:val="18"/>
              </w:rPr>
              <w:t>0.4 ± 1.1</w:t>
            </w:r>
          </w:p>
        </w:tc>
      </w:tr>
    </w:tbl>
    <w:p w14:paraId="33A5E442" w14:textId="77777777" w:rsidR="00180509" w:rsidRDefault="00180509">
      <w:pPr>
        <w:rPr>
          <w:sz w:val="22"/>
          <w:szCs w:val="20"/>
        </w:rPr>
      </w:pPr>
    </w:p>
    <w:p w14:paraId="1B0B624D" w14:textId="51C5FDC9" w:rsidR="00FD2868" w:rsidRPr="00D02C43" w:rsidRDefault="00FD2868">
      <w:pPr>
        <w:rPr>
          <w:sz w:val="22"/>
          <w:szCs w:val="20"/>
        </w:rPr>
      </w:pPr>
      <w:r w:rsidRPr="00D02C43">
        <w:rPr>
          <w:sz w:val="22"/>
          <w:szCs w:val="20"/>
        </w:rPr>
        <w:br w:type="page"/>
      </w:r>
    </w:p>
    <w:p w14:paraId="644FE663" w14:textId="77777777" w:rsidR="00D02C43" w:rsidRDefault="00D02C43" w:rsidP="00BE1192">
      <w:pPr>
        <w:rPr>
          <w:b/>
          <w:bCs/>
          <w:sz w:val="22"/>
          <w:szCs w:val="20"/>
        </w:rPr>
        <w:sectPr w:rsidR="00D02C43" w:rsidSect="00D02C43">
          <w:pgSz w:w="15840" w:h="12240" w:orient="landscape"/>
          <w:pgMar w:top="1440" w:right="1440" w:bottom="1440" w:left="1440" w:header="720" w:footer="720" w:gutter="0"/>
          <w:lnNumType w:countBy="1" w:restart="continuous"/>
          <w:cols w:space="720"/>
          <w:docGrid w:linePitch="360"/>
        </w:sectPr>
      </w:pPr>
    </w:p>
    <w:p w14:paraId="4C8F1099" w14:textId="2D42F4F3" w:rsidR="00FD2868" w:rsidRPr="00D02C43" w:rsidRDefault="00FD2868" w:rsidP="00BE1192">
      <w:pPr>
        <w:rPr>
          <w:sz w:val="22"/>
          <w:szCs w:val="20"/>
        </w:rPr>
      </w:pPr>
      <w:r w:rsidRPr="00D02C43">
        <w:rPr>
          <w:b/>
          <w:bCs/>
          <w:sz w:val="22"/>
          <w:szCs w:val="20"/>
        </w:rPr>
        <w:lastRenderedPageBreak/>
        <w:t>Figure Legends</w:t>
      </w:r>
    </w:p>
    <w:p w14:paraId="4E8586ED" w14:textId="0D8A685F" w:rsidR="00FD2868" w:rsidRPr="009C0AEC" w:rsidRDefault="009C0AEC" w:rsidP="00BE1192">
      <w:pPr>
        <w:rPr>
          <w:sz w:val="22"/>
          <w:szCs w:val="20"/>
        </w:rPr>
      </w:pPr>
      <w:r>
        <w:rPr>
          <w:sz w:val="22"/>
          <w:szCs w:val="20"/>
        </w:rPr>
        <w:t xml:space="preserve">Figure 1: Mean white band disease prevalence in </w:t>
      </w:r>
      <w:r>
        <w:rPr>
          <w:i/>
          <w:iCs/>
          <w:sz w:val="22"/>
          <w:szCs w:val="20"/>
        </w:rPr>
        <w:t>Acropora cervicornis</w:t>
      </w:r>
      <w:r>
        <w:rPr>
          <w:sz w:val="22"/>
          <w:szCs w:val="20"/>
        </w:rPr>
        <w:t xml:space="preserve"> colonies across sampling timepoints. Letters indicate significant groupings. Error bars mark the 95% confidence intervals.</w:t>
      </w:r>
    </w:p>
    <w:p w14:paraId="460BACFD" w14:textId="77777777" w:rsidR="009C0AEC" w:rsidRDefault="009C0AEC" w:rsidP="00BE1192">
      <w:pPr>
        <w:rPr>
          <w:sz w:val="22"/>
          <w:szCs w:val="20"/>
        </w:rPr>
      </w:pPr>
    </w:p>
    <w:p w14:paraId="5EF1F2DF" w14:textId="01BB1C46" w:rsidR="009C0AEC" w:rsidRDefault="009C0AEC" w:rsidP="00BE1192">
      <w:pPr>
        <w:rPr>
          <w:sz w:val="22"/>
          <w:szCs w:val="20"/>
        </w:rPr>
      </w:pPr>
      <w:r>
        <w:rPr>
          <w:sz w:val="22"/>
          <w:szCs w:val="20"/>
        </w:rPr>
        <w:t xml:space="preserve">Figure 2: </w:t>
      </w:r>
      <w:r w:rsidR="00B9061C">
        <w:rPr>
          <w:sz w:val="22"/>
          <w:szCs w:val="16"/>
        </w:rPr>
        <w:t xml:space="preserve">NMDS ordination of microbial communities of </w:t>
      </w:r>
      <w:r w:rsidR="00B9061C">
        <w:rPr>
          <w:i/>
          <w:iCs/>
          <w:sz w:val="22"/>
          <w:szCs w:val="16"/>
        </w:rPr>
        <w:t>Acropora cervicornis</w:t>
      </w:r>
      <w:r w:rsidR="00B9061C">
        <w:rPr>
          <w:sz w:val="22"/>
          <w:szCs w:val="16"/>
        </w:rPr>
        <w:t xml:space="preserve"> indicating differences between (A) healthy and diseased colonies, (B) colonies from spatially distinct locations, (C) colonies sampled in different years, and (D) colonies sampled in different seasons.</w:t>
      </w:r>
    </w:p>
    <w:p w14:paraId="60F99C7C" w14:textId="77777777" w:rsidR="009C0AEC" w:rsidRDefault="009C0AEC" w:rsidP="00BE1192">
      <w:pPr>
        <w:rPr>
          <w:sz w:val="22"/>
          <w:szCs w:val="20"/>
        </w:rPr>
      </w:pPr>
    </w:p>
    <w:p w14:paraId="73449749" w14:textId="170FED71" w:rsidR="009C0AEC" w:rsidRDefault="009C0AEC" w:rsidP="00BE1192">
      <w:pPr>
        <w:rPr>
          <w:sz w:val="22"/>
          <w:szCs w:val="20"/>
        </w:rPr>
      </w:pPr>
      <w:r>
        <w:rPr>
          <w:sz w:val="22"/>
          <w:szCs w:val="20"/>
        </w:rPr>
        <w:t xml:space="preserve">Figure 3: </w:t>
      </w:r>
      <w:r w:rsidR="00B9061C">
        <w:rPr>
          <w:noProof/>
          <w:sz w:val="22"/>
          <w:szCs w:val="16"/>
        </w:rPr>
        <w:t>Overall model quality (A) evaluated using the training (triangle) and testing (circle) datasets. Probability of model practical equvilance (within 1% overall quality of best model) showing cutoff of models considered equivalent in this study (B).</w:t>
      </w:r>
    </w:p>
    <w:p w14:paraId="7CEA0B5C" w14:textId="77777777" w:rsidR="009C0AEC" w:rsidRDefault="009C0AEC" w:rsidP="00BE1192">
      <w:pPr>
        <w:rPr>
          <w:sz w:val="22"/>
          <w:szCs w:val="20"/>
        </w:rPr>
      </w:pPr>
    </w:p>
    <w:p w14:paraId="0E4B8328" w14:textId="15475236" w:rsidR="009C0AEC" w:rsidRDefault="009C0AEC" w:rsidP="00BE1192">
      <w:pPr>
        <w:rPr>
          <w:sz w:val="22"/>
          <w:szCs w:val="20"/>
        </w:rPr>
      </w:pPr>
      <w:r>
        <w:rPr>
          <w:sz w:val="22"/>
          <w:szCs w:val="20"/>
        </w:rPr>
        <w:t xml:space="preserve">Figure 4: </w:t>
      </w:r>
      <w:r w:rsidR="00852205">
        <w:rPr>
          <w:noProof/>
          <w:sz w:val="22"/>
          <w:szCs w:val="16"/>
        </w:rPr>
        <w:t xml:space="preserve">SHAP importance of each of the ASVs consistently in the top ranks distingishing healthy and diseased </w:t>
      </w:r>
      <w:r w:rsidR="00852205">
        <w:rPr>
          <w:i/>
          <w:iCs/>
          <w:noProof/>
          <w:sz w:val="22"/>
          <w:szCs w:val="16"/>
        </w:rPr>
        <w:t>Acropora cervicornis</w:t>
      </w:r>
      <w:r w:rsidR="00852205">
        <w:rPr>
          <w:noProof/>
          <w:sz w:val="22"/>
          <w:szCs w:val="16"/>
        </w:rPr>
        <w:t xml:space="preserve"> colonies across all equivilent model types.</w:t>
      </w:r>
    </w:p>
    <w:p w14:paraId="7FECD21C" w14:textId="77777777" w:rsidR="009C0AEC" w:rsidRDefault="009C0AEC" w:rsidP="00BE1192">
      <w:pPr>
        <w:rPr>
          <w:sz w:val="22"/>
          <w:szCs w:val="20"/>
        </w:rPr>
      </w:pPr>
    </w:p>
    <w:p w14:paraId="55856DAC" w14:textId="5439F40D" w:rsidR="009C0AEC" w:rsidRPr="00D02C43" w:rsidRDefault="009C0AEC" w:rsidP="00BE1192">
      <w:pPr>
        <w:rPr>
          <w:sz w:val="22"/>
          <w:szCs w:val="20"/>
        </w:rPr>
      </w:pPr>
      <w:r>
        <w:rPr>
          <w:sz w:val="22"/>
          <w:szCs w:val="20"/>
        </w:rPr>
        <w:t xml:space="preserve">Figure 5: </w:t>
      </w:r>
      <w:r w:rsidR="00E95CDD" w:rsidRPr="00967CE5">
        <w:rPr>
          <w:noProof/>
          <w:sz w:val="22"/>
          <w:szCs w:val="20"/>
        </w:rPr>
        <w:t>Each panel shows the fold-change difference between diseased and healthy coral from the field sampling timepoints and each of the three tank exposure timepoints, prior to exposure, after disease slurry exposure, and after healthy slurry exposure. Positive values show greater abundance in diseased samples while negative values show greater abundance in healthy samples. Error bars indicate the 95% confidence interval.</w:t>
      </w:r>
    </w:p>
    <w:p w14:paraId="5726EE1B" w14:textId="0B896D2F" w:rsidR="00FD2868" w:rsidRPr="00D02C43" w:rsidRDefault="00FD2868">
      <w:pPr>
        <w:rPr>
          <w:sz w:val="22"/>
          <w:szCs w:val="20"/>
        </w:rPr>
      </w:pPr>
      <w:r w:rsidRPr="00D02C43">
        <w:rPr>
          <w:sz w:val="22"/>
          <w:szCs w:val="20"/>
        </w:rPr>
        <w:br w:type="page"/>
      </w:r>
    </w:p>
    <w:p w14:paraId="10902DD2" w14:textId="77777777" w:rsidR="00FD2868" w:rsidRPr="00D02C43" w:rsidRDefault="00FD2868" w:rsidP="00FD2868">
      <w:pPr>
        <w:keepNext/>
        <w:rPr>
          <w:sz w:val="22"/>
          <w:szCs w:val="20"/>
        </w:rPr>
      </w:pPr>
      <w:r w:rsidRPr="00D02C43">
        <w:rPr>
          <w:noProof/>
          <w:sz w:val="22"/>
          <w:szCs w:val="20"/>
        </w:rPr>
        <w:lastRenderedPageBreak/>
        <w:drawing>
          <wp:inline distT="0" distB="0" distL="0" distR="0" wp14:anchorId="2EB8B697" wp14:editId="789CEAAA">
            <wp:extent cx="5943600" cy="5943600"/>
            <wp:effectExtent l="0" t="0" r="0" b="0"/>
            <wp:docPr id="191022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29336" name="Picture 19102293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22E6E2E" w14:textId="600E7199" w:rsidR="00FD2868" w:rsidRPr="00D02C43" w:rsidRDefault="00FD2868" w:rsidP="00FD2868">
      <w:pPr>
        <w:pStyle w:val="Caption"/>
        <w:rPr>
          <w:sz w:val="22"/>
          <w:szCs w:val="16"/>
        </w:rPr>
      </w:pPr>
      <w:r w:rsidRPr="00D02C43">
        <w:rPr>
          <w:sz w:val="22"/>
          <w:szCs w:val="16"/>
        </w:rPr>
        <w:t xml:space="preserve">Figure </w:t>
      </w:r>
      <w:r w:rsidRPr="00D02C43">
        <w:rPr>
          <w:sz w:val="22"/>
          <w:szCs w:val="16"/>
        </w:rPr>
        <w:fldChar w:fldCharType="begin"/>
      </w:r>
      <w:r w:rsidRPr="00D02C43">
        <w:rPr>
          <w:sz w:val="22"/>
          <w:szCs w:val="16"/>
        </w:rPr>
        <w:instrText xml:space="preserve"> SEQ Figure \* ARABIC </w:instrText>
      </w:r>
      <w:r w:rsidRPr="00D02C43">
        <w:rPr>
          <w:sz w:val="22"/>
          <w:szCs w:val="16"/>
        </w:rPr>
        <w:fldChar w:fldCharType="separate"/>
      </w:r>
      <w:r w:rsidR="00146640">
        <w:rPr>
          <w:noProof/>
          <w:sz w:val="22"/>
          <w:szCs w:val="16"/>
        </w:rPr>
        <w:t>1</w:t>
      </w:r>
      <w:r w:rsidRPr="00D02C43">
        <w:rPr>
          <w:noProof/>
          <w:sz w:val="22"/>
          <w:szCs w:val="16"/>
        </w:rPr>
        <w:fldChar w:fldCharType="end"/>
      </w:r>
      <w:r w:rsidRPr="00D02C43">
        <w:rPr>
          <w:sz w:val="22"/>
          <w:szCs w:val="16"/>
        </w:rPr>
        <w:t xml:space="preserve">: </w:t>
      </w:r>
    </w:p>
    <w:p w14:paraId="2886DCBC" w14:textId="77777777" w:rsidR="007C37DA" w:rsidRPr="00D02C43" w:rsidRDefault="007C37DA" w:rsidP="007C37DA">
      <w:pPr>
        <w:rPr>
          <w:sz w:val="22"/>
          <w:szCs w:val="20"/>
        </w:rPr>
      </w:pPr>
    </w:p>
    <w:p w14:paraId="16097BF1" w14:textId="04E48AAC" w:rsidR="007C37DA" w:rsidRPr="00D02C43" w:rsidRDefault="007C37DA">
      <w:pPr>
        <w:rPr>
          <w:sz w:val="22"/>
          <w:szCs w:val="20"/>
        </w:rPr>
      </w:pPr>
      <w:r w:rsidRPr="00D02C43">
        <w:rPr>
          <w:sz w:val="22"/>
          <w:szCs w:val="20"/>
        </w:rPr>
        <w:br w:type="page"/>
      </w:r>
    </w:p>
    <w:p w14:paraId="0CAA7B9B" w14:textId="77777777" w:rsidR="007C37DA" w:rsidRPr="00D02C43" w:rsidRDefault="007C37DA" w:rsidP="007C37DA">
      <w:pPr>
        <w:keepNext/>
        <w:rPr>
          <w:sz w:val="22"/>
          <w:szCs w:val="20"/>
        </w:rPr>
      </w:pPr>
      <w:r w:rsidRPr="00D02C43">
        <w:rPr>
          <w:noProof/>
          <w:sz w:val="22"/>
          <w:szCs w:val="20"/>
        </w:rPr>
        <w:lastRenderedPageBreak/>
        <w:drawing>
          <wp:inline distT="0" distB="0" distL="0" distR="0" wp14:anchorId="67FB1BCF" wp14:editId="68CD61B6">
            <wp:extent cx="5943600" cy="2773680"/>
            <wp:effectExtent l="0" t="0" r="0" b="7620"/>
            <wp:docPr id="2105728922" name="Picture 2" descr="A diagram of a b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28922" name="Picture 2" descr="A diagram of a brai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4EA88BDA" w14:textId="71EB263A" w:rsidR="007C37DA" w:rsidRPr="009C0AEC" w:rsidRDefault="007C37DA" w:rsidP="007C37DA">
      <w:pPr>
        <w:pStyle w:val="Caption"/>
        <w:rPr>
          <w:sz w:val="22"/>
          <w:szCs w:val="16"/>
        </w:rPr>
      </w:pPr>
      <w:r w:rsidRPr="00D02C43">
        <w:rPr>
          <w:sz w:val="22"/>
          <w:szCs w:val="16"/>
        </w:rPr>
        <w:t xml:space="preserve">Figure </w:t>
      </w:r>
      <w:r w:rsidRPr="00D02C43">
        <w:rPr>
          <w:sz w:val="22"/>
          <w:szCs w:val="16"/>
        </w:rPr>
        <w:fldChar w:fldCharType="begin"/>
      </w:r>
      <w:r w:rsidRPr="00D02C43">
        <w:rPr>
          <w:sz w:val="22"/>
          <w:szCs w:val="16"/>
        </w:rPr>
        <w:instrText xml:space="preserve"> SEQ Figure \* ARABIC </w:instrText>
      </w:r>
      <w:r w:rsidRPr="00D02C43">
        <w:rPr>
          <w:sz w:val="22"/>
          <w:szCs w:val="16"/>
        </w:rPr>
        <w:fldChar w:fldCharType="separate"/>
      </w:r>
      <w:r w:rsidR="00146640">
        <w:rPr>
          <w:noProof/>
          <w:sz w:val="22"/>
          <w:szCs w:val="16"/>
        </w:rPr>
        <w:t>2</w:t>
      </w:r>
      <w:r w:rsidRPr="00D02C43">
        <w:rPr>
          <w:noProof/>
          <w:sz w:val="22"/>
          <w:szCs w:val="16"/>
        </w:rPr>
        <w:fldChar w:fldCharType="end"/>
      </w:r>
      <w:r w:rsidRPr="00D02C43">
        <w:rPr>
          <w:sz w:val="22"/>
          <w:szCs w:val="16"/>
        </w:rPr>
        <w:t xml:space="preserve">: </w:t>
      </w:r>
    </w:p>
    <w:p w14:paraId="38A4131B" w14:textId="77777777" w:rsidR="007C37DA" w:rsidRPr="00D02C43" w:rsidRDefault="007C37DA" w:rsidP="007C37DA">
      <w:pPr>
        <w:rPr>
          <w:sz w:val="22"/>
          <w:szCs w:val="20"/>
        </w:rPr>
      </w:pPr>
    </w:p>
    <w:p w14:paraId="36FED20F" w14:textId="5959A49F" w:rsidR="0059270A" w:rsidRPr="00D02C43" w:rsidRDefault="0059270A">
      <w:pPr>
        <w:rPr>
          <w:sz w:val="22"/>
          <w:szCs w:val="20"/>
        </w:rPr>
      </w:pPr>
      <w:r w:rsidRPr="00D02C43">
        <w:rPr>
          <w:sz w:val="22"/>
          <w:szCs w:val="20"/>
        </w:rPr>
        <w:br w:type="page"/>
      </w:r>
    </w:p>
    <w:p w14:paraId="74ECF1A7" w14:textId="77777777" w:rsidR="0059270A" w:rsidRPr="00D02C43" w:rsidRDefault="0059270A" w:rsidP="0059270A">
      <w:pPr>
        <w:keepNext/>
        <w:rPr>
          <w:sz w:val="22"/>
          <w:szCs w:val="20"/>
        </w:rPr>
      </w:pPr>
      <w:r w:rsidRPr="00D02C43">
        <w:rPr>
          <w:noProof/>
          <w:sz w:val="22"/>
          <w:szCs w:val="20"/>
        </w:rPr>
        <w:lastRenderedPageBreak/>
        <w:drawing>
          <wp:inline distT="0" distB="0" distL="0" distR="0" wp14:anchorId="3845DD7C" wp14:editId="54672354">
            <wp:extent cx="5943600" cy="2971800"/>
            <wp:effectExtent l="0" t="0" r="0" b="0"/>
            <wp:docPr id="140557602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76022" name="Picture 1" descr="A graph of a lin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F0D44E6" w14:textId="1D7392CC" w:rsidR="007C37DA" w:rsidRPr="00D02C43" w:rsidRDefault="0059270A" w:rsidP="0059270A">
      <w:pPr>
        <w:pStyle w:val="Caption"/>
        <w:rPr>
          <w:sz w:val="22"/>
          <w:szCs w:val="16"/>
        </w:rPr>
      </w:pPr>
      <w:r w:rsidRPr="00D02C43">
        <w:rPr>
          <w:sz w:val="22"/>
          <w:szCs w:val="16"/>
        </w:rPr>
        <w:t xml:space="preserve">Figure </w:t>
      </w:r>
      <w:r w:rsidRPr="00D02C43">
        <w:rPr>
          <w:sz w:val="22"/>
          <w:szCs w:val="16"/>
        </w:rPr>
        <w:fldChar w:fldCharType="begin"/>
      </w:r>
      <w:r w:rsidRPr="00D02C43">
        <w:rPr>
          <w:sz w:val="22"/>
          <w:szCs w:val="16"/>
        </w:rPr>
        <w:instrText xml:space="preserve"> SEQ Figure \* ARABIC </w:instrText>
      </w:r>
      <w:r w:rsidRPr="00D02C43">
        <w:rPr>
          <w:sz w:val="22"/>
          <w:szCs w:val="16"/>
        </w:rPr>
        <w:fldChar w:fldCharType="separate"/>
      </w:r>
      <w:r w:rsidR="00146640">
        <w:rPr>
          <w:noProof/>
          <w:sz w:val="22"/>
          <w:szCs w:val="16"/>
        </w:rPr>
        <w:t>3</w:t>
      </w:r>
      <w:r w:rsidRPr="00D02C43">
        <w:rPr>
          <w:noProof/>
          <w:sz w:val="22"/>
          <w:szCs w:val="16"/>
        </w:rPr>
        <w:fldChar w:fldCharType="end"/>
      </w:r>
      <w:r w:rsidR="00B9061C">
        <w:rPr>
          <w:noProof/>
          <w:sz w:val="22"/>
          <w:szCs w:val="16"/>
        </w:rPr>
        <w:t xml:space="preserve">: </w:t>
      </w:r>
    </w:p>
    <w:p w14:paraId="1EC365E4" w14:textId="77777777" w:rsidR="00E35E17" w:rsidRPr="00D02C43" w:rsidRDefault="00E35E17" w:rsidP="00E35E17">
      <w:pPr>
        <w:rPr>
          <w:sz w:val="22"/>
          <w:szCs w:val="20"/>
        </w:rPr>
      </w:pPr>
    </w:p>
    <w:p w14:paraId="3A351ADF" w14:textId="717C1B13" w:rsidR="00E35E17" w:rsidRPr="00D02C43" w:rsidRDefault="00E35E17">
      <w:pPr>
        <w:rPr>
          <w:sz w:val="22"/>
          <w:szCs w:val="20"/>
        </w:rPr>
      </w:pPr>
      <w:r w:rsidRPr="00D02C43">
        <w:rPr>
          <w:sz w:val="22"/>
          <w:szCs w:val="20"/>
        </w:rPr>
        <w:br w:type="page"/>
      </w:r>
    </w:p>
    <w:p w14:paraId="4A956BF5" w14:textId="77777777" w:rsidR="006B1CBB" w:rsidRPr="00D02C43" w:rsidRDefault="00E35E17" w:rsidP="006B1CBB">
      <w:pPr>
        <w:keepNext/>
        <w:rPr>
          <w:sz w:val="22"/>
          <w:szCs w:val="20"/>
        </w:rPr>
      </w:pPr>
      <w:r w:rsidRPr="00D02C43">
        <w:rPr>
          <w:noProof/>
          <w:sz w:val="22"/>
          <w:szCs w:val="20"/>
        </w:rPr>
        <w:lastRenderedPageBreak/>
        <w:drawing>
          <wp:inline distT="0" distB="0" distL="0" distR="0" wp14:anchorId="08AA0717" wp14:editId="037D3FE4">
            <wp:extent cx="5943600" cy="4160520"/>
            <wp:effectExtent l="0" t="0" r="0" b="0"/>
            <wp:docPr id="1405172256"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72256" name="Picture 2"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174147A2" w14:textId="24A99233" w:rsidR="00E35E17" w:rsidRPr="00FE36D0" w:rsidRDefault="006B1CBB" w:rsidP="006B1CBB">
      <w:pPr>
        <w:pStyle w:val="Caption"/>
        <w:rPr>
          <w:sz w:val="22"/>
          <w:szCs w:val="16"/>
        </w:rPr>
      </w:pPr>
      <w:r w:rsidRPr="00D02C43">
        <w:rPr>
          <w:sz w:val="22"/>
          <w:szCs w:val="16"/>
        </w:rPr>
        <w:t xml:space="preserve">Figure </w:t>
      </w:r>
      <w:r w:rsidRPr="00D02C43">
        <w:rPr>
          <w:sz w:val="22"/>
          <w:szCs w:val="16"/>
        </w:rPr>
        <w:fldChar w:fldCharType="begin"/>
      </w:r>
      <w:r w:rsidRPr="00D02C43">
        <w:rPr>
          <w:sz w:val="22"/>
          <w:szCs w:val="16"/>
        </w:rPr>
        <w:instrText xml:space="preserve"> SEQ Figure \* ARABIC </w:instrText>
      </w:r>
      <w:r w:rsidRPr="00D02C43">
        <w:rPr>
          <w:sz w:val="22"/>
          <w:szCs w:val="16"/>
        </w:rPr>
        <w:fldChar w:fldCharType="separate"/>
      </w:r>
      <w:r w:rsidR="00146640">
        <w:rPr>
          <w:noProof/>
          <w:sz w:val="22"/>
          <w:szCs w:val="16"/>
        </w:rPr>
        <w:t>4</w:t>
      </w:r>
      <w:r w:rsidRPr="00D02C43">
        <w:rPr>
          <w:noProof/>
          <w:sz w:val="22"/>
          <w:szCs w:val="16"/>
        </w:rPr>
        <w:fldChar w:fldCharType="end"/>
      </w:r>
      <w:r w:rsidR="00644C20">
        <w:rPr>
          <w:noProof/>
          <w:sz w:val="22"/>
          <w:szCs w:val="16"/>
        </w:rPr>
        <w:t xml:space="preserve">: </w:t>
      </w:r>
    </w:p>
    <w:p w14:paraId="77FD8018" w14:textId="1FA8DFF0" w:rsidR="00146640" w:rsidRDefault="00146640">
      <w:pPr>
        <w:rPr>
          <w:sz w:val="22"/>
          <w:szCs w:val="20"/>
        </w:rPr>
      </w:pPr>
      <w:r>
        <w:rPr>
          <w:sz w:val="22"/>
          <w:szCs w:val="20"/>
        </w:rPr>
        <w:br w:type="page"/>
      </w:r>
    </w:p>
    <w:p w14:paraId="2CA3ADBD" w14:textId="77777777" w:rsidR="006B1CBB" w:rsidRDefault="006B1CBB" w:rsidP="00E35E17">
      <w:pPr>
        <w:rPr>
          <w:sz w:val="22"/>
          <w:szCs w:val="20"/>
        </w:rPr>
      </w:pPr>
    </w:p>
    <w:p w14:paraId="5BC68E4E" w14:textId="77777777" w:rsidR="00146640" w:rsidRDefault="00146640" w:rsidP="00146640">
      <w:pPr>
        <w:keepNext/>
      </w:pPr>
      <w:r>
        <w:rPr>
          <w:noProof/>
          <w:sz w:val="22"/>
          <w:szCs w:val="20"/>
        </w:rPr>
        <w:drawing>
          <wp:inline distT="0" distB="0" distL="0" distR="0" wp14:anchorId="2517A3BD" wp14:editId="6B2E03EB">
            <wp:extent cx="5943600" cy="5943600"/>
            <wp:effectExtent l="0" t="0" r="0" b="0"/>
            <wp:docPr id="8786738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73845" name="Picture 1"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7E8C9EE" w14:textId="20136E81" w:rsidR="00146640" w:rsidRPr="00D02C43" w:rsidRDefault="00146640" w:rsidP="00146640">
      <w:pPr>
        <w:pStyle w:val="Caption"/>
        <w:rPr>
          <w:sz w:val="22"/>
          <w:szCs w:val="20"/>
        </w:rPr>
      </w:pPr>
      <w:r>
        <w:t xml:space="preserve">Figure </w:t>
      </w:r>
      <w:fldSimple w:instr=" SEQ Figure \* ARABIC ">
        <w:r>
          <w:rPr>
            <w:noProof/>
          </w:rPr>
          <w:t>5</w:t>
        </w:r>
      </w:fldSimple>
      <w:r w:rsidR="00260304">
        <w:rPr>
          <w:noProof/>
        </w:rPr>
        <w:t xml:space="preserve">: </w:t>
      </w:r>
    </w:p>
    <w:p w14:paraId="64C94631" w14:textId="5B7DE479" w:rsidR="006B1CBB" w:rsidRPr="00D02C43" w:rsidRDefault="006B1CBB">
      <w:pPr>
        <w:rPr>
          <w:sz w:val="22"/>
          <w:szCs w:val="20"/>
        </w:rPr>
      </w:pPr>
      <w:r w:rsidRPr="00D02C43">
        <w:rPr>
          <w:sz w:val="22"/>
          <w:szCs w:val="20"/>
        </w:rPr>
        <w:br w:type="page"/>
      </w:r>
    </w:p>
    <w:p w14:paraId="07B2DA37" w14:textId="77777777" w:rsidR="006B1CBB" w:rsidRPr="00D02C43" w:rsidRDefault="006B1CBB" w:rsidP="00E35E17">
      <w:pPr>
        <w:rPr>
          <w:sz w:val="22"/>
          <w:szCs w:val="20"/>
        </w:rPr>
      </w:pPr>
    </w:p>
    <w:p w14:paraId="55C339CA" w14:textId="77777777" w:rsidR="006B1CBB" w:rsidRPr="00D02C43" w:rsidRDefault="006B1CBB" w:rsidP="00E35E17">
      <w:pPr>
        <w:rPr>
          <w:sz w:val="22"/>
          <w:szCs w:val="20"/>
        </w:rPr>
      </w:pPr>
    </w:p>
    <w:sectPr w:rsidR="006B1CBB" w:rsidRPr="00D02C43" w:rsidSect="00341FA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lwyn, Jason" w:date="2023-11-13T11:27:00Z" w:initials="JS">
    <w:p w14:paraId="572B8A1E" w14:textId="77777777" w:rsidR="0025218F" w:rsidRDefault="0025218F" w:rsidP="003A606A">
      <w:pPr>
        <w:pStyle w:val="CommentText"/>
      </w:pPr>
      <w:r>
        <w:rPr>
          <w:rStyle w:val="CommentReference"/>
        </w:rPr>
        <w:annotationRef/>
      </w:r>
      <w:r>
        <w:t>Check specifics</w:t>
      </w:r>
    </w:p>
  </w:comment>
  <w:comment w:id="2" w:author="Selwyn, Jason" w:date="2023-11-28T13:25:00Z" w:initials="JS">
    <w:p w14:paraId="0821ACD3" w14:textId="77777777" w:rsidR="004D253D" w:rsidRDefault="004D253D" w:rsidP="00055697">
      <w:pPr>
        <w:pStyle w:val="CommentText"/>
      </w:pPr>
      <w:r>
        <w:rPr>
          <w:rStyle w:val="CommentReference"/>
        </w:rPr>
        <w:annotationRef/>
      </w:r>
      <w:r>
        <w:t>Something here about overall microbial diversity. i.e. there are a shit load of endozocomonas doing all kinds of crazy shit</w:t>
      </w:r>
    </w:p>
  </w:comment>
  <w:comment w:id="3" w:author="Selwyn, Jason" w:date="2023-11-27T15:35:00Z" w:initials="SJ">
    <w:p w14:paraId="5C86A623" w14:textId="7EFD6DDE" w:rsidR="00A066D3" w:rsidRDefault="00A066D3" w:rsidP="00CD67D9">
      <w:pPr>
        <w:pStyle w:val="CommentText"/>
      </w:pPr>
      <w:r>
        <w:rPr>
          <w:rStyle w:val="CommentReference"/>
        </w:rPr>
        <w:annotationRef/>
      </w:r>
      <w:r>
        <w:t>Make English</w:t>
      </w:r>
    </w:p>
  </w:comment>
  <w:comment w:id="4" w:author="Selwyn, Jason" w:date="2023-11-28T13:22:00Z" w:initials="JS">
    <w:p w14:paraId="0FCE5A57" w14:textId="77777777" w:rsidR="0000605E" w:rsidRDefault="0000605E" w:rsidP="00533768">
      <w:pPr>
        <w:pStyle w:val="CommentText"/>
      </w:pPr>
      <w:r>
        <w:rPr>
          <w:rStyle w:val="CommentReference"/>
        </w:rPr>
        <w:annotationRef/>
      </w:r>
      <w:r>
        <w:t>Rephrase to have some with ASV was X times more abundant in XX than YY (p = zz).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B8A1E" w15:done="0"/>
  <w15:commentEx w15:paraId="0821ACD3" w15:done="0"/>
  <w15:commentEx w15:paraId="5C86A623" w15:done="0"/>
  <w15:commentEx w15:paraId="0FCE5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7C7D38" w16cex:dateUtc="2023-11-13T16:27:00Z"/>
  <w16cex:commentExtensible w16cex:durableId="3D455F4C" w16cex:dateUtc="2023-11-28T18:25:00Z"/>
  <w16cex:commentExtensible w16cex:durableId="614D6A3F" w16cex:dateUtc="2023-11-27T20:35:00Z"/>
  <w16cex:commentExtensible w16cex:durableId="698EBF4A" w16cex:dateUtc="2023-11-28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B8A1E" w16cid:durableId="257C7D38"/>
  <w16cid:commentId w16cid:paraId="0821ACD3" w16cid:durableId="3D455F4C"/>
  <w16cid:commentId w16cid:paraId="5C86A623" w16cid:durableId="614D6A3F"/>
  <w16cid:commentId w16cid:paraId="0FCE5A57" w16cid:durableId="698EB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3DFC"/>
    <w:multiLevelType w:val="hybridMultilevel"/>
    <w:tmpl w:val="5A1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91AC2"/>
    <w:multiLevelType w:val="hybridMultilevel"/>
    <w:tmpl w:val="74685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F3C06"/>
    <w:multiLevelType w:val="hybridMultilevel"/>
    <w:tmpl w:val="D6D66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E2C06"/>
    <w:multiLevelType w:val="hybridMultilevel"/>
    <w:tmpl w:val="2FAC5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94459"/>
    <w:multiLevelType w:val="hybridMultilevel"/>
    <w:tmpl w:val="9E3A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F522C"/>
    <w:multiLevelType w:val="hybridMultilevel"/>
    <w:tmpl w:val="4C68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111A4"/>
    <w:multiLevelType w:val="hybridMultilevel"/>
    <w:tmpl w:val="D06EC2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C9B564C"/>
    <w:multiLevelType w:val="hybridMultilevel"/>
    <w:tmpl w:val="BCB2AE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7B55FA"/>
    <w:multiLevelType w:val="hybridMultilevel"/>
    <w:tmpl w:val="34FC1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0128B"/>
    <w:multiLevelType w:val="hybridMultilevel"/>
    <w:tmpl w:val="25883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C515D"/>
    <w:multiLevelType w:val="hybridMultilevel"/>
    <w:tmpl w:val="26E8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999862">
    <w:abstractNumId w:val="4"/>
  </w:num>
  <w:num w:numId="2" w16cid:durableId="1280070625">
    <w:abstractNumId w:val="3"/>
  </w:num>
  <w:num w:numId="3" w16cid:durableId="1625309326">
    <w:abstractNumId w:val="9"/>
  </w:num>
  <w:num w:numId="4" w16cid:durableId="1246914081">
    <w:abstractNumId w:val="7"/>
  </w:num>
  <w:num w:numId="5" w16cid:durableId="2118519157">
    <w:abstractNumId w:val="1"/>
  </w:num>
  <w:num w:numId="6" w16cid:durableId="1646008142">
    <w:abstractNumId w:val="5"/>
  </w:num>
  <w:num w:numId="7" w16cid:durableId="712388094">
    <w:abstractNumId w:val="2"/>
  </w:num>
  <w:num w:numId="8" w16cid:durableId="723791390">
    <w:abstractNumId w:val="10"/>
  </w:num>
  <w:num w:numId="9" w16cid:durableId="296255066">
    <w:abstractNumId w:val="0"/>
  </w:num>
  <w:num w:numId="10" w16cid:durableId="761223074">
    <w:abstractNumId w:val="6"/>
  </w:num>
  <w:num w:numId="11" w16cid:durableId="8024311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lwyn, Jason">
    <w15:presenceInfo w15:providerId="AD" w15:userId="S::j.selwyn@northeastern.edu::3c5b6b95-52b0-408c-8a23-33dd025f8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09"/>
    <w:rsid w:val="0000605E"/>
    <w:rsid w:val="00007BD3"/>
    <w:rsid w:val="00025C57"/>
    <w:rsid w:val="0003063A"/>
    <w:rsid w:val="00036FB7"/>
    <w:rsid w:val="00090EFA"/>
    <w:rsid w:val="00093039"/>
    <w:rsid w:val="000A622F"/>
    <w:rsid w:val="000E3FA6"/>
    <w:rsid w:val="001178C0"/>
    <w:rsid w:val="00126D4C"/>
    <w:rsid w:val="00136232"/>
    <w:rsid w:val="001424E4"/>
    <w:rsid w:val="00146640"/>
    <w:rsid w:val="00147C05"/>
    <w:rsid w:val="001514B1"/>
    <w:rsid w:val="001613EA"/>
    <w:rsid w:val="00180509"/>
    <w:rsid w:val="001A6806"/>
    <w:rsid w:val="001B4227"/>
    <w:rsid w:val="001B448C"/>
    <w:rsid w:val="001B45DE"/>
    <w:rsid w:val="001E1D65"/>
    <w:rsid w:val="001F02BA"/>
    <w:rsid w:val="001F1B27"/>
    <w:rsid w:val="001F21B5"/>
    <w:rsid w:val="00205E76"/>
    <w:rsid w:val="00223D26"/>
    <w:rsid w:val="00233D7B"/>
    <w:rsid w:val="00241693"/>
    <w:rsid w:val="0024360A"/>
    <w:rsid w:val="00250CA9"/>
    <w:rsid w:val="0025218F"/>
    <w:rsid w:val="00260304"/>
    <w:rsid w:val="0027450F"/>
    <w:rsid w:val="00281512"/>
    <w:rsid w:val="002857FB"/>
    <w:rsid w:val="002D37EC"/>
    <w:rsid w:val="002E0BBF"/>
    <w:rsid w:val="002F1671"/>
    <w:rsid w:val="002F38C3"/>
    <w:rsid w:val="002F3B6D"/>
    <w:rsid w:val="0031530D"/>
    <w:rsid w:val="00327E0B"/>
    <w:rsid w:val="003416C8"/>
    <w:rsid w:val="00341FA1"/>
    <w:rsid w:val="0035490D"/>
    <w:rsid w:val="003630F0"/>
    <w:rsid w:val="00365EB0"/>
    <w:rsid w:val="003A3892"/>
    <w:rsid w:val="003D0EAB"/>
    <w:rsid w:val="003D392F"/>
    <w:rsid w:val="003D5A4F"/>
    <w:rsid w:val="0040362D"/>
    <w:rsid w:val="00405B61"/>
    <w:rsid w:val="00432582"/>
    <w:rsid w:val="004513F3"/>
    <w:rsid w:val="00457C65"/>
    <w:rsid w:val="004673AC"/>
    <w:rsid w:val="004846E3"/>
    <w:rsid w:val="004A5157"/>
    <w:rsid w:val="004B570F"/>
    <w:rsid w:val="004C0D08"/>
    <w:rsid w:val="004D253D"/>
    <w:rsid w:val="004F6AAB"/>
    <w:rsid w:val="005006C6"/>
    <w:rsid w:val="0050214D"/>
    <w:rsid w:val="00515FFB"/>
    <w:rsid w:val="005271D9"/>
    <w:rsid w:val="005331DA"/>
    <w:rsid w:val="005348B0"/>
    <w:rsid w:val="00541EF9"/>
    <w:rsid w:val="005450D6"/>
    <w:rsid w:val="005530F4"/>
    <w:rsid w:val="00554126"/>
    <w:rsid w:val="00563FD3"/>
    <w:rsid w:val="00580B19"/>
    <w:rsid w:val="0059270A"/>
    <w:rsid w:val="005A7E3D"/>
    <w:rsid w:val="005E2C70"/>
    <w:rsid w:val="005F5AC3"/>
    <w:rsid w:val="0060506F"/>
    <w:rsid w:val="006053D4"/>
    <w:rsid w:val="00625E4E"/>
    <w:rsid w:val="006409CC"/>
    <w:rsid w:val="00641269"/>
    <w:rsid w:val="00644C20"/>
    <w:rsid w:val="00644F8B"/>
    <w:rsid w:val="00656BE2"/>
    <w:rsid w:val="00657537"/>
    <w:rsid w:val="00657AA5"/>
    <w:rsid w:val="00663D39"/>
    <w:rsid w:val="00665F1D"/>
    <w:rsid w:val="00694823"/>
    <w:rsid w:val="00695499"/>
    <w:rsid w:val="006A5DF8"/>
    <w:rsid w:val="006B1CBB"/>
    <w:rsid w:val="006D7807"/>
    <w:rsid w:val="006E7987"/>
    <w:rsid w:val="00700C7E"/>
    <w:rsid w:val="007209FB"/>
    <w:rsid w:val="0076384F"/>
    <w:rsid w:val="00765C85"/>
    <w:rsid w:val="007A4A19"/>
    <w:rsid w:val="007A6786"/>
    <w:rsid w:val="007A7DF0"/>
    <w:rsid w:val="007B1C49"/>
    <w:rsid w:val="007B4BEF"/>
    <w:rsid w:val="007C37DA"/>
    <w:rsid w:val="007C6608"/>
    <w:rsid w:val="007D3E9D"/>
    <w:rsid w:val="007D3EAD"/>
    <w:rsid w:val="007D6E4A"/>
    <w:rsid w:val="007F3A65"/>
    <w:rsid w:val="00815A43"/>
    <w:rsid w:val="00817656"/>
    <w:rsid w:val="00824E39"/>
    <w:rsid w:val="008333C5"/>
    <w:rsid w:val="008503BD"/>
    <w:rsid w:val="00852205"/>
    <w:rsid w:val="00852A6D"/>
    <w:rsid w:val="00853A2A"/>
    <w:rsid w:val="00873831"/>
    <w:rsid w:val="00873FFC"/>
    <w:rsid w:val="008839D3"/>
    <w:rsid w:val="00884FF1"/>
    <w:rsid w:val="008867FE"/>
    <w:rsid w:val="00891C04"/>
    <w:rsid w:val="008A77B2"/>
    <w:rsid w:val="008C4805"/>
    <w:rsid w:val="008C72A4"/>
    <w:rsid w:val="008F55C0"/>
    <w:rsid w:val="00920A09"/>
    <w:rsid w:val="00967CE5"/>
    <w:rsid w:val="009704E6"/>
    <w:rsid w:val="00992C76"/>
    <w:rsid w:val="009B529F"/>
    <w:rsid w:val="009B5EBA"/>
    <w:rsid w:val="009B6946"/>
    <w:rsid w:val="009C010B"/>
    <w:rsid w:val="009C0AEC"/>
    <w:rsid w:val="009C1600"/>
    <w:rsid w:val="009E38CC"/>
    <w:rsid w:val="00A00B14"/>
    <w:rsid w:val="00A066D3"/>
    <w:rsid w:val="00A128A8"/>
    <w:rsid w:val="00A31A32"/>
    <w:rsid w:val="00A818E1"/>
    <w:rsid w:val="00A8284C"/>
    <w:rsid w:val="00AA59F2"/>
    <w:rsid w:val="00AB665D"/>
    <w:rsid w:val="00AD3A59"/>
    <w:rsid w:val="00AF0A7C"/>
    <w:rsid w:val="00B13FD6"/>
    <w:rsid w:val="00B45569"/>
    <w:rsid w:val="00B63057"/>
    <w:rsid w:val="00B66DA7"/>
    <w:rsid w:val="00B7645A"/>
    <w:rsid w:val="00B82E73"/>
    <w:rsid w:val="00B9061C"/>
    <w:rsid w:val="00B91A5D"/>
    <w:rsid w:val="00BA3194"/>
    <w:rsid w:val="00BC7AFA"/>
    <w:rsid w:val="00BD157E"/>
    <w:rsid w:val="00BD742A"/>
    <w:rsid w:val="00BE0145"/>
    <w:rsid w:val="00BE1192"/>
    <w:rsid w:val="00C12156"/>
    <w:rsid w:val="00C34DFB"/>
    <w:rsid w:val="00C37CD5"/>
    <w:rsid w:val="00C41A46"/>
    <w:rsid w:val="00C60ECE"/>
    <w:rsid w:val="00C670E1"/>
    <w:rsid w:val="00C86FA0"/>
    <w:rsid w:val="00C9135B"/>
    <w:rsid w:val="00CC57B3"/>
    <w:rsid w:val="00CE1917"/>
    <w:rsid w:val="00D02C43"/>
    <w:rsid w:val="00D07021"/>
    <w:rsid w:val="00D07A64"/>
    <w:rsid w:val="00D25F30"/>
    <w:rsid w:val="00D5385C"/>
    <w:rsid w:val="00D579CE"/>
    <w:rsid w:val="00D65964"/>
    <w:rsid w:val="00D66658"/>
    <w:rsid w:val="00D92E6D"/>
    <w:rsid w:val="00DA2F30"/>
    <w:rsid w:val="00DE793B"/>
    <w:rsid w:val="00DF23A8"/>
    <w:rsid w:val="00E00689"/>
    <w:rsid w:val="00E121AD"/>
    <w:rsid w:val="00E1250C"/>
    <w:rsid w:val="00E35E17"/>
    <w:rsid w:val="00E64807"/>
    <w:rsid w:val="00E72917"/>
    <w:rsid w:val="00E85A4F"/>
    <w:rsid w:val="00E864C1"/>
    <w:rsid w:val="00E9199B"/>
    <w:rsid w:val="00E95CDD"/>
    <w:rsid w:val="00E9675C"/>
    <w:rsid w:val="00E969DB"/>
    <w:rsid w:val="00EC53A3"/>
    <w:rsid w:val="00EC6D17"/>
    <w:rsid w:val="00EE13DD"/>
    <w:rsid w:val="00EE601D"/>
    <w:rsid w:val="00F06312"/>
    <w:rsid w:val="00F12A41"/>
    <w:rsid w:val="00F14344"/>
    <w:rsid w:val="00F25C90"/>
    <w:rsid w:val="00F325AD"/>
    <w:rsid w:val="00F33D21"/>
    <w:rsid w:val="00F3606A"/>
    <w:rsid w:val="00F61239"/>
    <w:rsid w:val="00F747ED"/>
    <w:rsid w:val="00F754F3"/>
    <w:rsid w:val="00FA48C1"/>
    <w:rsid w:val="00FB431E"/>
    <w:rsid w:val="00FD2868"/>
    <w:rsid w:val="00FD5E59"/>
    <w:rsid w:val="00FE36D0"/>
    <w:rsid w:val="00FE6EFD"/>
    <w:rsid w:val="00FE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AF42"/>
  <w15:chartTrackingRefBased/>
  <w15:docId w15:val="{E9B96550-1B50-4F3C-A9AA-CEA211C8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917"/>
    <w:rPr>
      <w:rFonts w:ascii="Times New Roman" w:hAnsi="Times New Roman"/>
      <w:sz w:val="24"/>
    </w:rPr>
  </w:style>
  <w:style w:type="paragraph" w:styleId="Heading1">
    <w:name w:val="heading 1"/>
    <w:basedOn w:val="Normal"/>
    <w:next w:val="Normal"/>
    <w:link w:val="Heading1Char"/>
    <w:uiPriority w:val="9"/>
    <w:qFormat/>
    <w:rsid w:val="00E72917"/>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72917"/>
    <w:pPr>
      <w:keepNext/>
      <w:keepLines/>
      <w:spacing w:before="40" w:after="0"/>
      <w:outlineLvl w:val="1"/>
    </w:pPr>
    <w:rPr>
      <w:rFonts w:eastAsiaTheme="majorEastAsia"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0C"/>
    <w:pPr>
      <w:ind w:left="720"/>
      <w:contextualSpacing/>
    </w:pPr>
  </w:style>
  <w:style w:type="paragraph" w:styleId="Bibliography">
    <w:name w:val="Bibliography"/>
    <w:basedOn w:val="Normal"/>
    <w:next w:val="Normal"/>
    <w:uiPriority w:val="37"/>
    <w:unhideWhenUsed/>
    <w:rsid w:val="00873831"/>
    <w:pPr>
      <w:spacing w:after="0" w:line="480" w:lineRule="auto"/>
      <w:ind w:left="720" w:hanging="720"/>
    </w:pPr>
  </w:style>
  <w:style w:type="character" w:styleId="CommentReference">
    <w:name w:val="annotation reference"/>
    <w:basedOn w:val="DefaultParagraphFont"/>
    <w:uiPriority w:val="99"/>
    <w:semiHidden/>
    <w:unhideWhenUsed/>
    <w:rsid w:val="00563FD3"/>
    <w:rPr>
      <w:sz w:val="16"/>
      <w:szCs w:val="16"/>
    </w:rPr>
  </w:style>
  <w:style w:type="paragraph" w:styleId="CommentText">
    <w:name w:val="annotation text"/>
    <w:basedOn w:val="Normal"/>
    <w:link w:val="CommentTextChar"/>
    <w:uiPriority w:val="99"/>
    <w:unhideWhenUsed/>
    <w:rsid w:val="00563FD3"/>
    <w:pPr>
      <w:spacing w:line="240" w:lineRule="auto"/>
    </w:pPr>
    <w:rPr>
      <w:sz w:val="20"/>
      <w:szCs w:val="20"/>
    </w:rPr>
  </w:style>
  <w:style w:type="character" w:customStyle="1" w:styleId="CommentTextChar">
    <w:name w:val="Comment Text Char"/>
    <w:basedOn w:val="DefaultParagraphFont"/>
    <w:link w:val="CommentText"/>
    <w:uiPriority w:val="99"/>
    <w:rsid w:val="00563FD3"/>
    <w:rPr>
      <w:sz w:val="20"/>
      <w:szCs w:val="20"/>
    </w:rPr>
  </w:style>
  <w:style w:type="paragraph" w:styleId="CommentSubject">
    <w:name w:val="annotation subject"/>
    <w:basedOn w:val="CommentText"/>
    <w:next w:val="CommentText"/>
    <w:link w:val="CommentSubjectChar"/>
    <w:uiPriority w:val="99"/>
    <w:semiHidden/>
    <w:unhideWhenUsed/>
    <w:rsid w:val="00563FD3"/>
    <w:rPr>
      <w:b/>
      <w:bCs/>
    </w:rPr>
  </w:style>
  <w:style w:type="character" w:customStyle="1" w:styleId="CommentSubjectChar">
    <w:name w:val="Comment Subject Char"/>
    <w:basedOn w:val="CommentTextChar"/>
    <w:link w:val="CommentSubject"/>
    <w:uiPriority w:val="99"/>
    <w:semiHidden/>
    <w:rsid w:val="00563FD3"/>
    <w:rPr>
      <w:b/>
      <w:bCs/>
      <w:sz w:val="20"/>
      <w:szCs w:val="20"/>
    </w:rPr>
  </w:style>
  <w:style w:type="table" w:styleId="TableGrid">
    <w:name w:val="Table Grid"/>
    <w:basedOn w:val="TableNormal"/>
    <w:uiPriority w:val="39"/>
    <w:rsid w:val="00E7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7021"/>
    <w:pPr>
      <w:spacing w:after="200" w:line="240" w:lineRule="auto"/>
    </w:pPr>
    <w:rPr>
      <w:iCs/>
      <w:color w:val="000000" w:themeColor="text1"/>
      <w:szCs w:val="18"/>
    </w:rPr>
  </w:style>
  <w:style w:type="character" w:customStyle="1" w:styleId="Heading1Char">
    <w:name w:val="Heading 1 Char"/>
    <w:basedOn w:val="DefaultParagraphFont"/>
    <w:link w:val="Heading1"/>
    <w:uiPriority w:val="9"/>
    <w:rsid w:val="00E72917"/>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E72917"/>
    <w:rPr>
      <w:rFonts w:ascii="Times New Roman" w:eastAsiaTheme="majorEastAsia" w:hAnsi="Times New Roman" w:cstheme="majorBidi"/>
      <w:color w:val="000000" w:themeColor="text1"/>
      <w:sz w:val="24"/>
      <w:szCs w:val="26"/>
      <w:u w:val="single"/>
    </w:rPr>
  </w:style>
  <w:style w:type="paragraph" w:styleId="NoSpacing">
    <w:name w:val="No Spacing"/>
    <w:uiPriority w:val="1"/>
    <w:qFormat/>
    <w:rsid w:val="00BD742A"/>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0A622F"/>
    <w:rPr>
      <w:color w:val="808080"/>
    </w:rPr>
  </w:style>
  <w:style w:type="paragraph" w:customStyle="1" w:styleId="Authors">
    <w:name w:val="Authors"/>
    <w:basedOn w:val="Normal"/>
    <w:rsid w:val="00405B61"/>
    <w:pPr>
      <w:spacing w:before="120" w:after="360" w:line="240" w:lineRule="auto"/>
      <w:jc w:val="center"/>
    </w:pPr>
    <w:rPr>
      <w:rFonts w:eastAsia="Times New Roman" w:cs="Times New Roman"/>
      <w:kern w:val="0"/>
      <w:szCs w:val="24"/>
      <w14:ligatures w14:val="none"/>
    </w:rPr>
  </w:style>
  <w:style w:type="paragraph" w:customStyle="1" w:styleId="Paragraph">
    <w:name w:val="Paragraph"/>
    <w:basedOn w:val="Normal"/>
    <w:rsid w:val="00405B61"/>
    <w:pPr>
      <w:spacing w:before="120" w:after="0" w:line="240" w:lineRule="auto"/>
      <w:ind w:firstLine="720"/>
    </w:pPr>
    <w:rPr>
      <w:rFonts w:eastAsia="Times New Roman" w:cs="Times New Roman"/>
      <w:kern w:val="0"/>
      <w:szCs w:val="24"/>
      <w14:ligatures w14:val="none"/>
    </w:rPr>
  </w:style>
  <w:style w:type="paragraph" w:customStyle="1" w:styleId="Head">
    <w:name w:val="Head"/>
    <w:basedOn w:val="Normal"/>
    <w:rsid w:val="00405B61"/>
    <w:pPr>
      <w:keepNext/>
      <w:spacing w:before="120" w:after="120" w:line="240" w:lineRule="auto"/>
      <w:jc w:val="center"/>
      <w:outlineLvl w:val="0"/>
    </w:pPr>
    <w:rPr>
      <w:rFonts w:eastAsia="Times New Roman" w:cs="Times New Roman"/>
      <w:b/>
      <w:bCs/>
      <w:kern w:val="28"/>
      <w:sz w:val="28"/>
      <w:szCs w:val="28"/>
      <w14:ligatures w14:val="none"/>
    </w:rPr>
  </w:style>
  <w:style w:type="character" w:styleId="Hyperlink">
    <w:name w:val="Hyperlink"/>
    <w:basedOn w:val="DefaultParagraphFont"/>
    <w:uiPriority w:val="99"/>
    <w:unhideWhenUsed/>
    <w:rsid w:val="00405B61"/>
    <w:rPr>
      <w:color w:val="0563C1" w:themeColor="hyperlink"/>
      <w:u w:val="single"/>
    </w:rPr>
  </w:style>
  <w:style w:type="paragraph" w:styleId="Title">
    <w:name w:val="Title"/>
    <w:basedOn w:val="Normal"/>
    <w:next w:val="Normal"/>
    <w:link w:val="TitleChar"/>
    <w:uiPriority w:val="10"/>
    <w:qFormat/>
    <w:rsid w:val="00405B61"/>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05B61"/>
    <w:rPr>
      <w:rFonts w:ascii="Times New Roman" w:eastAsiaTheme="majorEastAsia" w:hAnsi="Times New Roman" w:cstheme="majorBidi"/>
      <w:spacing w:val="-10"/>
      <w:kern w:val="28"/>
      <w:sz w:val="40"/>
      <w:szCs w:val="56"/>
    </w:rPr>
  </w:style>
  <w:style w:type="character" w:styleId="LineNumber">
    <w:name w:val="line number"/>
    <w:basedOn w:val="DefaultParagraphFont"/>
    <w:uiPriority w:val="99"/>
    <w:semiHidden/>
    <w:unhideWhenUsed/>
    <w:rsid w:val="0034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9516">
      <w:bodyDiv w:val="1"/>
      <w:marLeft w:val="0"/>
      <w:marRight w:val="0"/>
      <w:marTop w:val="0"/>
      <w:marBottom w:val="0"/>
      <w:divBdr>
        <w:top w:val="none" w:sz="0" w:space="0" w:color="auto"/>
        <w:left w:val="none" w:sz="0" w:space="0" w:color="auto"/>
        <w:bottom w:val="none" w:sz="0" w:space="0" w:color="auto"/>
        <w:right w:val="none" w:sz="0" w:space="0" w:color="auto"/>
      </w:divBdr>
    </w:div>
    <w:div w:id="472063755">
      <w:bodyDiv w:val="1"/>
      <w:marLeft w:val="0"/>
      <w:marRight w:val="0"/>
      <w:marTop w:val="0"/>
      <w:marBottom w:val="0"/>
      <w:divBdr>
        <w:top w:val="none" w:sz="0" w:space="0" w:color="auto"/>
        <w:left w:val="none" w:sz="0" w:space="0" w:color="auto"/>
        <w:bottom w:val="none" w:sz="0" w:space="0" w:color="auto"/>
        <w:right w:val="none" w:sz="0" w:space="0" w:color="auto"/>
      </w:divBdr>
    </w:div>
    <w:div w:id="489294557">
      <w:bodyDiv w:val="1"/>
      <w:marLeft w:val="0"/>
      <w:marRight w:val="0"/>
      <w:marTop w:val="0"/>
      <w:marBottom w:val="0"/>
      <w:divBdr>
        <w:top w:val="none" w:sz="0" w:space="0" w:color="auto"/>
        <w:left w:val="none" w:sz="0" w:space="0" w:color="auto"/>
        <w:bottom w:val="none" w:sz="0" w:space="0" w:color="auto"/>
        <w:right w:val="none" w:sz="0" w:space="0" w:color="auto"/>
      </w:divBdr>
    </w:div>
    <w:div w:id="521406417">
      <w:bodyDiv w:val="1"/>
      <w:marLeft w:val="0"/>
      <w:marRight w:val="0"/>
      <w:marTop w:val="0"/>
      <w:marBottom w:val="0"/>
      <w:divBdr>
        <w:top w:val="none" w:sz="0" w:space="0" w:color="auto"/>
        <w:left w:val="none" w:sz="0" w:space="0" w:color="auto"/>
        <w:bottom w:val="none" w:sz="0" w:space="0" w:color="auto"/>
        <w:right w:val="none" w:sz="0" w:space="0" w:color="auto"/>
      </w:divBdr>
    </w:div>
    <w:div w:id="677465614">
      <w:bodyDiv w:val="1"/>
      <w:marLeft w:val="0"/>
      <w:marRight w:val="0"/>
      <w:marTop w:val="0"/>
      <w:marBottom w:val="0"/>
      <w:divBdr>
        <w:top w:val="none" w:sz="0" w:space="0" w:color="auto"/>
        <w:left w:val="none" w:sz="0" w:space="0" w:color="auto"/>
        <w:bottom w:val="none" w:sz="0" w:space="0" w:color="auto"/>
        <w:right w:val="none" w:sz="0" w:space="0" w:color="auto"/>
      </w:divBdr>
    </w:div>
    <w:div w:id="686709899">
      <w:bodyDiv w:val="1"/>
      <w:marLeft w:val="0"/>
      <w:marRight w:val="0"/>
      <w:marTop w:val="0"/>
      <w:marBottom w:val="0"/>
      <w:divBdr>
        <w:top w:val="none" w:sz="0" w:space="0" w:color="auto"/>
        <w:left w:val="none" w:sz="0" w:space="0" w:color="auto"/>
        <w:bottom w:val="none" w:sz="0" w:space="0" w:color="auto"/>
        <w:right w:val="none" w:sz="0" w:space="0" w:color="auto"/>
      </w:divBdr>
    </w:div>
    <w:div w:id="851577875">
      <w:bodyDiv w:val="1"/>
      <w:marLeft w:val="0"/>
      <w:marRight w:val="0"/>
      <w:marTop w:val="0"/>
      <w:marBottom w:val="0"/>
      <w:divBdr>
        <w:top w:val="none" w:sz="0" w:space="0" w:color="auto"/>
        <w:left w:val="none" w:sz="0" w:space="0" w:color="auto"/>
        <w:bottom w:val="none" w:sz="0" w:space="0" w:color="auto"/>
        <w:right w:val="none" w:sz="0" w:space="0" w:color="auto"/>
      </w:divBdr>
    </w:div>
    <w:div w:id="930625684">
      <w:bodyDiv w:val="1"/>
      <w:marLeft w:val="0"/>
      <w:marRight w:val="0"/>
      <w:marTop w:val="0"/>
      <w:marBottom w:val="0"/>
      <w:divBdr>
        <w:top w:val="none" w:sz="0" w:space="0" w:color="auto"/>
        <w:left w:val="none" w:sz="0" w:space="0" w:color="auto"/>
        <w:bottom w:val="none" w:sz="0" w:space="0" w:color="auto"/>
        <w:right w:val="none" w:sz="0" w:space="0" w:color="auto"/>
      </w:divBdr>
    </w:div>
    <w:div w:id="996685075">
      <w:bodyDiv w:val="1"/>
      <w:marLeft w:val="0"/>
      <w:marRight w:val="0"/>
      <w:marTop w:val="0"/>
      <w:marBottom w:val="0"/>
      <w:divBdr>
        <w:top w:val="none" w:sz="0" w:space="0" w:color="auto"/>
        <w:left w:val="none" w:sz="0" w:space="0" w:color="auto"/>
        <w:bottom w:val="none" w:sz="0" w:space="0" w:color="auto"/>
        <w:right w:val="none" w:sz="0" w:space="0" w:color="auto"/>
      </w:divBdr>
    </w:div>
    <w:div w:id="1246915912">
      <w:bodyDiv w:val="1"/>
      <w:marLeft w:val="0"/>
      <w:marRight w:val="0"/>
      <w:marTop w:val="0"/>
      <w:marBottom w:val="0"/>
      <w:divBdr>
        <w:top w:val="none" w:sz="0" w:space="0" w:color="auto"/>
        <w:left w:val="none" w:sz="0" w:space="0" w:color="auto"/>
        <w:bottom w:val="none" w:sz="0" w:space="0" w:color="auto"/>
        <w:right w:val="none" w:sz="0" w:space="0" w:color="auto"/>
      </w:divBdr>
    </w:div>
    <w:div w:id="1392541265">
      <w:bodyDiv w:val="1"/>
      <w:marLeft w:val="0"/>
      <w:marRight w:val="0"/>
      <w:marTop w:val="0"/>
      <w:marBottom w:val="0"/>
      <w:divBdr>
        <w:top w:val="none" w:sz="0" w:space="0" w:color="auto"/>
        <w:left w:val="none" w:sz="0" w:space="0" w:color="auto"/>
        <w:bottom w:val="none" w:sz="0" w:space="0" w:color="auto"/>
        <w:right w:val="none" w:sz="0" w:space="0" w:color="auto"/>
      </w:divBdr>
    </w:div>
    <w:div w:id="1426078580">
      <w:bodyDiv w:val="1"/>
      <w:marLeft w:val="0"/>
      <w:marRight w:val="0"/>
      <w:marTop w:val="0"/>
      <w:marBottom w:val="0"/>
      <w:divBdr>
        <w:top w:val="none" w:sz="0" w:space="0" w:color="auto"/>
        <w:left w:val="none" w:sz="0" w:space="0" w:color="auto"/>
        <w:bottom w:val="none" w:sz="0" w:space="0" w:color="auto"/>
        <w:right w:val="none" w:sz="0" w:space="0" w:color="auto"/>
      </w:divBdr>
    </w:div>
    <w:div w:id="1473015549">
      <w:bodyDiv w:val="1"/>
      <w:marLeft w:val="0"/>
      <w:marRight w:val="0"/>
      <w:marTop w:val="0"/>
      <w:marBottom w:val="0"/>
      <w:divBdr>
        <w:top w:val="none" w:sz="0" w:space="0" w:color="auto"/>
        <w:left w:val="none" w:sz="0" w:space="0" w:color="auto"/>
        <w:bottom w:val="none" w:sz="0" w:space="0" w:color="auto"/>
        <w:right w:val="none" w:sz="0" w:space="0" w:color="auto"/>
      </w:divBdr>
    </w:div>
    <w:div w:id="1533493055">
      <w:bodyDiv w:val="1"/>
      <w:marLeft w:val="0"/>
      <w:marRight w:val="0"/>
      <w:marTop w:val="0"/>
      <w:marBottom w:val="0"/>
      <w:divBdr>
        <w:top w:val="none" w:sz="0" w:space="0" w:color="auto"/>
        <w:left w:val="none" w:sz="0" w:space="0" w:color="auto"/>
        <w:bottom w:val="none" w:sz="0" w:space="0" w:color="auto"/>
        <w:right w:val="none" w:sz="0" w:space="0" w:color="auto"/>
      </w:divBdr>
    </w:div>
    <w:div w:id="1571961186">
      <w:bodyDiv w:val="1"/>
      <w:marLeft w:val="0"/>
      <w:marRight w:val="0"/>
      <w:marTop w:val="0"/>
      <w:marBottom w:val="0"/>
      <w:divBdr>
        <w:top w:val="none" w:sz="0" w:space="0" w:color="auto"/>
        <w:left w:val="none" w:sz="0" w:space="0" w:color="auto"/>
        <w:bottom w:val="none" w:sz="0" w:space="0" w:color="auto"/>
        <w:right w:val="none" w:sz="0" w:space="0" w:color="auto"/>
      </w:divBdr>
    </w:div>
    <w:div w:id="1756783204">
      <w:bodyDiv w:val="1"/>
      <w:marLeft w:val="0"/>
      <w:marRight w:val="0"/>
      <w:marTop w:val="0"/>
      <w:marBottom w:val="0"/>
      <w:divBdr>
        <w:top w:val="none" w:sz="0" w:space="0" w:color="auto"/>
        <w:left w:val="none" w:sz="0" w:space="0" w:color="auto"/>
        <w:bottom w:val="none" w:sz="0" w:space="0" w:color="auto"/>
        <w:right w:val="none" w:sz="0" w:space="0" w:color="auto"/>
      </w:divBdr>
    </w:div>
    <w:div w:id="204520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selwyn@northeastern.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AAFCA-C81B-4CB7-A70E-8B615105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18</Pages>
  <Words>12942</Words>
  <Characters>73776</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Selwyn, Jason</dc:creator>
  <cp:keywords/>
  <dc:description/>
  <cp:lastModifiedBy>Selwyn, Jason</cp:lastModifiedBy>
  <cp:revision>151</cp:revision>
  <dcterms:created xsi:type="dcterms:W3CDTF">2023-10-04T17:45:00Z</dcterms:created>
  <dcterms:modified xsi:type="dcterms:W3CDTF">2023-11-29T15:44:00Z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id="1cdHTpZs"/&gt;&lt;style id="http://www.zotero.org/styles/ecology" hasBibliography="1" bibliographyStyleHasBeenSet="1"/&gt;&lt;prefs&gt;&lt;pref name="fieldType" value="Field"/&gt;&lt;/prefs&gt;&lt;/data&gt;</vt:lpwstr>
  </property>
</Properties>
</file>