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Stages and calendar plan of the project participants’ performance</w:t>
      </w:r>
    </w:p>
    <w:p w:rsidR="00385A2B" w:rsidRPr="00385A2B" w:rsidRDefault="00385A2B" w:rsidP="002F6328">
      <w:pPr>
        <w:spacing w:after="0" w:line="258" w:lineRule="atLeast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ED1DD9" w:rsidP="002F6328">
      <w:pPr>
        <w:spacing w:after="0" w:line="258" w:lineRule="atLeast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Title of</w:t>
      </w:r>
      <w:r w:rsidR="00385A2B"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the project </w:t>
      </w:r>
      <w:r w:rsidR="00385A2B"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"Stressful elements of latent influence real </w:t>
      </w:r>
      <w:proofErr w:type="spellStart"/>
      <w:r w:rsidR="00385A2B"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mediamessages</w:t>
      </w:r>
      <w:proofErr w:type="spellEnd"/>
      <w:r w:rsidR="00385A2B"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r w:rsidR="00385A2B" w:rsidRPr="00ED1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content</w:t>
      </w:r>
      <w:r w:rsidR="00385A2B"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related to the COVID-19 pandemic elicit on social groups"</w:t>
      </w:r>
    </w:p>
    <w:p w:rsidR="00385A2B" w:rsidRPr="00385A2B" w:rsidRDefault="00385A2B" w:rsidP="002F6328">
      <w:pPr>
        <w:spacing w:after="0" w:line="258" w:lineRule="atLeast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contextualSpacing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Research supervisor of the project: </w:t>
      </w:r>
      <w:proofErr w:type="spellStart"/>
      <w:r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Rizun</w:t>
      </w:r>
      <w:proofErr w:type="spellEnd"/>
      <w:r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Volodymyr</w:t>
      </w:r>
      <w:proofErr w:type="spellEnd"/>
      <w:r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Volodymyrovych</w:t>
      </w:r>
      <w:proofErr w:type="spellEnd"/>
      <w:r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, Doctor of Philology, Professor, Director of the Institute of Journalism </w:t>
      </w:r>
      <w:r w:rsidR="00ED1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at</w:t>
      </w:r>
      <w:r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Taras</w:t>
      </w:r>
      <w:proofErr w:type="spellEnd"/>
      <w:r w:rsidRPr="00385A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Shevchenko National University of Kyiv</w:t>
      </w:r>
    </w:p>
    <w:p w:rsidR="00385A2B" w:rsidRPr="00385A2B" w:rsidRDefault="00385A2B" w:rsidP="002F6328">
      <w:pPr>
        <w:spacing w:after="0" w:line="258" w:lineRule="atLeast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C9D7F1"/>
          <w:lang w:val="en-US" w:eastAsia="ru-RU"/>
        </w:rPr>
        <w:t xml:space="preserve">4. Stages and schedule of the project implementation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9D7F1"/>
          <w:lang w:val="en-US" w:eastAsia="ru-RU"/>
        </w:rPr>
        <w:t>(in Ukrainian and English)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4.1.</w:t>
      </w:r>
      <w:r w:rsidR="00ED1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Stages of the project implementation (SPI) and performance indicators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All </w:t>
      </w:r>
      <w:r w:rsidR="00ED1DD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actions</w:t>
      </w:r>
      <w:r w:rsidRPr="00385A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are performed at </w:t>
      </w:r>
      <w:proofErr w:type="spellStart"/>
      <w:r w:rsidRPr="00385A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Taras</w:t>
      </w:r>
      <w:proofErr w:type="spellEnd"/>
      <w:r w:rsidRPr="00385A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Shevchenko National University of Kyiv.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SPI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№ 1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 of SPI: Media monitoring and sampling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Objectives of the </w:t>
      </w: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SPI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to develop a methodology and to record and select news reports on the</w:t>
      </w:r>
      <w:r w:rsid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COVID-19</w:t>
      </w:r>
      <w:r w:rsid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pandemic</w:t>
      </w:r>
      <w:r w:rsid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conduct audience surveys based on different social groups and to form experimental groups of subjects.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EA02AF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Planned for SPI acti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ons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achieve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objectives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 to 1000 characters).</w:t>
      </w:r>
    </w:p>
    <w:p w:rsidR="00385A2B" w:rsidRPr="00385A2B" w:rsidRDefault="00ED1DD9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Elaborating and development of monitoring methods.</w:t>
      </w:r>
      <w:proofErr w:type="gramEnd"/>
    </w:p>
    <w:p w:rsidR="00385A2B" w:rsidRPr="00385A2B" w:rsidRDefault="00ED1DD9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 monitoring.</w:t>
      </w:r>
      <w:proofErr w:type="gramEnd"/>
    </w:p>
    <w:p w:rsidR="00385A2B" w:rsidRPr="00385A2B" w:rsidRDefault="00ED1DD9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Forming a sample of messages.</w:t>
      </w:r>
      <w:proofErr w:type="gramEnd"/>
    </w:p>
    <w:p w:rsidR="00385A2B" w:rsidRPr="00385A2B" w:rsidRDefault="00ED1DD9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4.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Forming groups of subjects.</w:t>
      </w:r>
      <w:proofErr w:type="gramEnd"/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 indicators (which scientific or other result will be obtained at a certain stage):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Structured methodology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monitoring, systematized body of media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messages, description of the sample messages, descriptions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 groups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proofErr w:type="gramEnd"/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SPI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№ 2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SPI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</w:t>
      </w:r>
      <w:r w:rsid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analysis, group work and testing media messages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Objectives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SPI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identify the communicative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intentions behind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 messages, to predict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 effects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 groups of subjects, taking into account their psychological status and to record real latent "</w:t>
      </w:r>
      <w:proofErr w:type="spellStart"/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psychophysiological</w:t>
      </w:r>
      <w:proofErr w:type="spellEnd"/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 effects.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A02AF" w:rsidRDefault="00EA02AF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Planned for SPI actions </w:t>
      </w:r>
      <w:proofErr w:type="gramStart"/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achieve</w:t>
      </w:r>
      <w:proofErr w:type="gramEnd"/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objectives.</w:t>
      </w:r>
    </w:p>
    <w:p w:rsidR="00385A2B" w:rsidRPr="00385A2B" w:rsidRDefault="00ED1DD9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perform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intent-analysis of selected</w:t>
      </w:r>
      <w:r w:rsid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 messages.</w:t>
      </w:r>
      <w:proofErr w:type="gramEnd"/>
    </w:p>
    <w:p w:rsidR="00385A2B" w:rsidRPr="00385A2B" w:rsidRDefault="00ED1DD9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carry out p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sychological and psychiatric testing of subjects for the ability to obtain</w:t>
      </w:r>
      <w:r w:rsid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intentionally</w:t>
      </w:r>
      <w:r w:rsid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envisioned</w:t>
      </w:r>
      <w:r w:rsid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 effects.</w:t>
      </w:r>
    </w:p>
    <w:p w:rsidR="00385A2B" w:rsidRDefault="00ED1DD9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Conducting experiments in </w:t>
      </w:r>
      <w:r w:rsid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subject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groups to detect latent </w:t>
      </w:r>
      <w:proofErr w:type="spell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psychophysiological</w:t>
      </w:r>
      <w:proofErr w:type="spell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reactions to</w:t>
      </w:r>
      <w:r w:rsid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edia messages.</w:t>
      </w:r>
      <w:proofErr w:type="gramEnd"/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 indicators (which scientific or other result will be obtained at a certain stage):</w:t>
      </w:r>
    </w:p>
    <w:p w:rsid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communicative intentions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psychological map of the subject, database of experimental data,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scholarly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article.</w:t>
      </w:r>
      <w:proofErr w:type="gramEnd"/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 xml:space="preserve">SPI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№ 3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 of</w:t>
      </w:r>
      <w:r w:rsid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SPI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Analysis of </w:t>
      </w:r>
      <w:proofErr w:type="spellStart"/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psychophysiological</w:t>
      </w:r>
      <w:proofErr w:type="spellEnd"/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reactions to content elements and </w:t>
      </w:r>
      <w:r w:rsidR="00AC5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isolati</w:t>
      </w:r>
      <w:r w:rsid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ng</w:t>
      </w:r>
      <w:r w:rsidR="0072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stress</w:t>
      </w:r>
      <w:r w:rsidR="0072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Objectives of</w:t>
      </w:r>
      <w:r w:rsidR="0072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SPI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to</w:t>
      </w:r>
      <w:r w:rsidR="0072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describe real reactions (media effects) </w:t>
      </w:r>
      <w:r w:rsidR="0072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 and to determine the most reactive elements of their content and to compare</w:t>
      </w:r>
      <w:r w:rsidR="0072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intentionally</w:t>
      </w:r>
      <w:r w:rsidR="0072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C5443" w:rsidRP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projected</w:t>
      </w:r>
      <w:r w:rsidR="00AC5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effects with real ones.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Planned </w:t>
      </w:r>
      <w:r w:rsid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SPI actions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that </w:t>
      </w:r>
      <w:r w:rsid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</w:t>
      </w:r>
      <w:proofErr w:type="gramEnd"/>
      <w:r w:rsidRP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C5443" w:rsidRP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objectives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385A2B" w:rsidRPr="00385A2B" w:rsidRDefault="00ED1DD9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Analysis of </w:t>
      </w:r>
      <w:proofErr w:type="spell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psychophysiological</w:t>
      </w:r>
      <w:proofErr w:type="spell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reactions to content elements.</w:t>
      </w:r>
      <w:proofErr w:type="gramEnd"/>
    </w:p>
    <w:p w:rsidR="00385A2B" w:rsidRPr="00385A2B" w:rsidRDefault="00ED1DD9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 2.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Isolating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stress</w:t>
      </w:r>
      <w:r w:rsidR="00AC5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 of latent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media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influence.</w:t>
      </w:r>
    </w:p>
    <w:p w:rsidR="00385A2B" w:rsidRPr="00385A2B" w:rsidRDefault="00ED1DD9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D1D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Action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Comparative analysis of communication expectations regarding the effectiveness of messages and actually </w:t>
      </w:r>
      <w:r w:rsidR="007A05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manifested</w:t>
      </w:r>
      <w:r w:rsidR="00AC5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 effects.</w:t>
      </w:r>
      <w:proofErr w:type="gramEnd"/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Performance indicators (which scientific or other result will 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 obtained at a certain stage)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description 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of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proofErr w:type="spellStart"/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psychophysiologica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lly</w:t>
      </w:r>
      <w:proofErr w:type="spellEnd"/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active" elements 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 media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content, a systematic description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of stressful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elements of 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media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2F6328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 on the effectiveness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media messages on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 </w:t>
      </w:r>
      <w:r w:rsidR="002F6328" w:rsidRP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COVID-19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pandemic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show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a 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scholarly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articles 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promotional materials for mass media reporting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of our research project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SPI</w:t>
      </w:r>
      <w:r w:rsidR="002F63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№ 4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 of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SPI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Validation of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stress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ful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Objectives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of </w:t>
      </w:r>
      <w:r w:rsidR="002F63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the SPI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to check salient stressful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latent influence on their </w:t>
      </w:r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"security</w:t>
      </w:r>
      <w:r w:rsidR="002F6328"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status"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ability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cause behavioral and social deviations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EA02AF" w:rsidRDefault="00EA02AF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Planned for SPI actions </w:t>
      </w:r>
      <w:proofErr w:type="gramStart"/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achieve</w:t>
      </w:r>
      <w:proofErr w:type="gramEnd"/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objectives.</w:t>
      </w:r>
    </w:p>
    <w:p w:rsidR="00385A2B" w:rsidRPr="00385A2B" w:rsidRDefault="00EA02AF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Formation of </w:t>
      </w:r>
      <w:r w:rsidR="002F6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experimental and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 groups of subjects (</w:t>
      </w:r>
      <w:r w:rsidR="001804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based on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social and psychological aspects).</w:t>
      </w:r>
    </w:p>
    <w:p w:rsidR="00385A2B" w:rsidRPr="00385A2B" w:rsidRDefault="00EA02AF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1804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2.</w:t>
      </w:r>
      <w:proofErr w:type="gramEnd"/>
      <w:r w:rsidR="001804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1804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Construction of pathogenic media messages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proofErr w:type="gramEnd"/>
    </w:p>
    <w:p w:rsidR="00385A2B" w:rsidRPr="00385A2B" w:rsidRDefault="00EA02AF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Conducting experiments to detect deviant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 effects.</w:t>
      </w:r>
      <w:proofErr w:type="gramEnd"/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Performance indicators (which scientific or other result will 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 obtained at a certain stage)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description of the 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experimental and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control 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group of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subjects, bank 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of pathogenic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messages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experimental data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two research 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articles,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round table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for media workers about the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urity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media messages on the </w:t>
      </w:r>
      <w:r w:rsidR="000D462B" w:rsidRP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COVID -19 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pandemic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roundtable presentation,</w:t>
      </w:r>
      <w:r w:rsidR="000D4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promotional materials for mass media reporting on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research results.</w:t>
      </w:r>
    </w:p>
    <w:p w:rsidR="00EB3E12" w:rsidRDefault="00EB3E12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B3E12" w:rsidRPr="00385A2B" w:rsidRDefault="00EB3E12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SPI</w:t>
      </w:r>
      <w:r w:rsidR="00011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№ 5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 of</w:t>
      </w:r>
      <w:r w:rsidR="00EB3E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SPI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EB3E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Interpretation of data and </w:t>
      </w:r>
      <w:r w:rsidR="00EB3E12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</w:t>
      </w:r>
      <w:r w:rsidR="00EB3E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ing </w:t>
      </w:r>
      <w:r w:rsidR="00EB3E12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recommendations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Objectives of the</w:t>
      </w:r>
      <w:r w:rsidR="00EB3E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B3E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SPI</w:t>
      </w:r>
      <w:r w:rsidR="00EB3E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to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summarize the results of the</w:t>
      </w:r>
      <w:r w:rsidR="00EB3E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B3E12" w:rsidRPr="00EB3E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research </w:t>
      </w:r>
      <w:r w:rsidR="00EB3E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project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publish them.</w:t>
      </w:r>
    </w:p>
    <w:p w:rsidR="00385A2B" w:rsidRPr="00385A2B" w:rsidRDefault="00EA02AF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Planned for SPI acti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ons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achieve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objectives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EB3E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 organizations that serve them.</w:t>
      </w:r>
      <w:proofErr w:type="gramEnd"/>
    </w:p>
    <w:p w:rsidR="00385A2B" w:rsidRPr="00385A2B" w:rsidRDefault="00EA02AF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Preparation and writing a monograph.</w:t>
      </w:r>
      <w:proofErr w:type="gramEnd"/>
    </w:p>
    <w:p w:rsidR="00385A2B" w:rsidRPr="00385A2B" w:rsidRDefault="00EA02AF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Action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Popularization of research results.</w:t>
      </w:r>
      <w:proofErr w:type="gramEnd"/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Performance indicators (which scientific or other result will </w:t>
      </w:r>
      <w:r w:rsid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 obtained at a certain stage)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a round table for </w:t>
      </w:r>
      <w:r w:rsid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media literacy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educators on the safe </w:t>
      </w:r>
      <w:r w:rsidR="0001145E" w:rsidRP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media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consumption about pandemics and quarantines and the negative consequences for humans from </w:t>
      </w:r>
      <w:r w:rsid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uncontrolled use of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mass media</w:t>
      </w:r>
      <w:r w:rsid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disseminate such information;</w:t>
      </w:r>
      <w:r w:rsid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monograph,</w:t>
      </w:r>
      <w:r w:rsid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promotional</w:t>
      </w:r>
      <w:r w:rsid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materials for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mass media</w:t>
      </w:r>
      <w:r w:rsid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 the results of the research.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01145E">
      <w:pPr>
        <w:spacing w:after="0" w:line="258" w:lineRule="atLeast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abstract</w:t>
      </w:r>
    </w:p>
    <w:p w:rsidR="00385A2B" w:rsidRPr="00385A2B" w:rsidRDefault="0001145E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 project is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dedicated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examining the stressfulness of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tain elements of the </w:t>
      </w:r>
      <w:r w:rsidRPr="000114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media reports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content on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 COVID-19 pandemic, including their ability to form deviant behavior in people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social </w:t>
      </w:r>
      <w:proofErr w:type="gram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Based on the results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will create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recommendations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 the media workers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media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consumers on the </w:t>
      </w:r>
      <w:proofErr w:type="spell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pathogenicity</w:t>
      </w:r>
      <w:proofErr w:type="spell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of certain types of messages and the </w:t>
      </w:r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means to </w:t>
      </w:r>
      <w:proofErr w:type="gramStart"/>
      <w:r w:rsidRPr="00EA02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information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security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individual.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attention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media sphere is drawn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fact that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communicative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intentions</w:t>
      </w:r>
      <w:proofErr w:type="gramEnd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of the media do not always correlate with the 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 effects, which can lead to undesirable consequences of ill-considered communication among consumers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media product.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Keywords</w:t>
      </w:r>
    </w:p>
    <w:p w:rsidR="00385A2B" w:rsidRPr="00385A2B" w:rsidRDefault="0001145E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Stressful content elements, media messages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hidde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 influence, COVID-19 pandemic, media effects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communication, audience, social groups, deviant behavior, communication intentions, </w:t>
      </w:r>
      <w:proofErr w:type="spellStart"/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psyc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hophysiological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reactions, skin-</w:t>
      </w:r>
      <w:r w:rsidR="00385A2B" w:rsidRPr="0038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galvanic reflex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4.2.</w:t>
      </w:r>
      <w:r w:rsidR="00EA02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Calendar plan of</w:t>
      </w:r>
      <w:r w:rsidR="00EA02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the project</w:t>
      </w:r>
      <w:r w:rsidR="00EA02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(quarterly)</w:t>
      </w:r>
    </w:p>
    <w:p w:rsidR="00385A2B" w:rsidRPr="00385A2B" w:rsidRDefault="00385A2B" w:rsidP="002F6328">
      <w:pPr>
        <w:spacing w:after="0" w:line="258" w:lineRule="atLeast"/>
        <w:ind w:left="2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5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</w:p>
    <w:tbl>
      <w:tblPr>
        <w:tblW w:w="816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84"/>
        <w:gridCol w:w="567"/>
        <w:gridCol w:w="567"/>
        <w:gridCol w:w="709"/>
        <w:gridCol w:w="567"/>
        <w:gridCol w:w="567"/>
        <w:gridCol w:w="567"/>
        <w:gridCol w:w="567"/>
        <w:gridCol w:w="567"/>
      </w:tblGrid>
      <w:tr w:rsidR="00385A2B" w:rsidRPr="00385A2B" w:rsidTr="005C54F2">
        <w:trPr>
          <w:trHeight w:val="297"/>
        </w:trPr>
        <w:tc>
          <w:tcPr>
            <w:tcW w:w="3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385A2B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5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 </w:t>
            </w:r>
          </w:p>
          <w:p w:rsidR="00385A2B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5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 </w:t>
            </w:r>
          </w:p>
          <w:p w:rsidR="00AC5443" w:rsidRPr="005C54F2" w:rsidRDefault="00385A2B" w:rsidP="005C54F2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Stage </w:t>
            </w:r>
            <w:r w:rsidR="005C5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of Project Implementation and Action Plan</w:t>
            </w:r>
          </w:p>
        </w:tc>
        <w:tc>
          <w:tcPr>
            <w:tcW w:w="467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5C54F2">
            <w:pPr>
              <w:spacing w:after="0" w:line="258" w:lineRule="atLeast"/>
              <w:ind w:left="2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Implementation</w:t>
            </w:r>
            <w:proofErr w:type="spellEnd"/>
            <w:r w:rsidRPr="00385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5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period</w:t>
            </w:r>
            <w:proofErr w:type="spellEnd"/>
          </w:p>
        </w:tc>
      </w:tr>
      <w:tr w:rsidR="00385A2B" w:rsidRPr="00385A2B" w:rsidTr="005C54F2">
        <w:trPr>
          <w:trHeight w:val="255"/>
        </w:trPr>
        <w:tc>
          <w:tcPr>
            <w:tcW w:w="348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:rsidR="00385A2B" w:rsidRPr="00385A2B" w:rsidRDefault="00385A2B" w:rsidP="002F632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  <w:proofErr w:type="spellEnd"/>
            <w:r w:rsid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  <w:proofErr w:type="spellEnd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385A2B" w:rsidRPr="00385A2B" w:rsidTr="005C54F2">
        <w:trPr>
          <w:trHeight w:val="497"/>
        </w:trPr>
        <w:tc>
          <w:tcPr>
            <w:tcW w:w="348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:rsidR="00385A2B" w:rsidRPr="00385A2B" w:rsidRDefault="00385A2B" w:rsidP="002F632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385A2B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C5443" w:rsidRPr="005C54F2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Quarter (q)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385A2B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C5443" w:rsidRPr="005C54F2" w:rsidRDefault="005C54F2" w:rsidP="005C54F2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385A2B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C5443" w:rsidRPr="005C54F2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385A2B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C5443" w:rsidRPr="005C54F2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385A2B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C5443" w:rsidRPr="005C54F2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385A2B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C5443" w:rsidRPr="005C54F2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</w:p>
        </w:tc>
      </w:tr>
      <w:tr w:rsidR="00385A2B" w:rsidRPr="00385A2B" w:rsidTr="005C54F2">
        <w:trPr>
          <w:trHeight w:val="327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385A2B" w:rsidRPr="005C54F2" w:rsidRDefault="00385A2B" w:rsidP="005C54F2">
            <w:pPr>
              <w:pStyle w:val="a3"/>
              <w:numPr>
                <w:ilvl w:val="0"/>
                <w:numId w:val="2"/>
              </w:numPr>
              <w:spacing w:after="0" w:line="258" w:lineRule="atLeast"/>
              <w:contextualSpacing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SPI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249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Action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24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49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49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49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581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385A2B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Amount</w:t>
            </w:r>
            <w:proofErr w:type="spellEnd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 xml:space="preserve"> </w:t>
            </w:r>
            <w:proofErr w:type="spellStart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of</w:t>
            </w:r>
            <w:proofErr w:type="spellEnd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 xml:space="preserve"> </w:t>
            </w:r>
            <w:proofErr w:type="spellStart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funding</w:t>
            </w:r>
            <w:proofErr w:type="spellEnd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,</w:t>
            </w:r>
          </w:p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thousand</w:t>
            </w:r>
            <w:proofErr w:type="spellEnd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 .</w:t>
            </w:r>
            <w:proofErr w:type="spellStart"/>
            <w:r w:rsid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hryvnias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2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5C54F2" w:rsidP="005C54F2">
            <w:pPr>
              <w:pStyle w:val="a3"/>
              <w:numPr>
                <w:ilvl w:val="0"/>
                <w:numId w:val="2"/>
              </w:numPr>
              <w:spacing w:after="0" w:line="258" w:lineRule="atLeas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5C54F2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385A2B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Amount of funding,</w:t>
            </w:r>
          </w:p>
          <w:p w:rsidR="00AC5443" w:rsidRPr="005C54F2" w:rsidRDefault="00385A2B" w:rsidP="002F6328">
            <w:pPr>
              <w:spacing w:after="0" w:line="258" w:lineRule="atLeas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thousand </w:t>
            </w:r>
            <w:proofErr w:type="spellStart"/>
            <w:r w:rsid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hryvnias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SPI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5C54F2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385A2B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Amount of funding,</w:t>
            </w:r>
          </w:p>
          <w:p w:rsidR="00AC5443" w:rsidRPr="005C54F2" w:rsidRDefault="00385A2B" w:rsidP="002F6328">
            <w:pPr>
              <w:spacing w:after="0" w:line="258" w:lineRule="atLeas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thousand </w:t>
            </w:r>
            <w:proofErr w:type="spellStart"/>
            <w:r w:rsid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hryvnias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SPI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5C54F2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385A2B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Amount of funding,</w:t>
            </w:r>
          </w:p>
          <w:p w:rsidR="00AC5443" w:rsidRPr="005C54F2" w:rsidRDefault="00385A2B" w:rsidP="002F6328">
            <w:pPr>
              <w:spacing w:after="0" w:line="258" w:lineRule="atLeas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thousand </w:t>
            </w:r>
            <w:proofErr w:type="spellStart"/>
            <w:r w:rsid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hryvnias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5C54F2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SPI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5C54F2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  <w:r w:rsidRPr="005C5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A2B"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385A2B" w:rsidRPr="00385A2B" w:rsidTr="005C54F2">
        <w:trPr>
          <w:trHeight w:val="383"/>
        </w:trPr>
        <w:tc>
          <w:tcPr>
            <w:tcW w:w="3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385A2B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Amount</w:t>
            </w:r>
            <w:proofErr w:type="spellEnd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 xml:space="preserve"> </w:t>
            </w:r>
            <w:proofErr w:type="spellStart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of</w:t>
            </w:r>
            <w:proofErr w:type="spellEnd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 xml:space="preserve"> </w:t>
            </w:r>
            <w:proofErr w:type="spellStart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funding</w:t>
            </w:r>
            <w:proofErr w:type="spellEnd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,</w:t>
            </w:r>
          </w:p>
          <w:p w:rsidR="00AC5443" w:rsidRPr="005C54F2" w:rsidRDefault="00385A2B" w:rsidP="002F6328">
            <w:pPr>
              <w:spacing w:after="0" w:line="258" w:lineRule="atLeas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thousand</w:t>
            </w:r>
            <w:proofErr w:type="spellEnd"/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eastAsia="ru-RU"/>
              </w:rPr>
              <w:t> </w:t>
            </w:r>
            <w:r w:rsidR="005C54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FF00"/>
                <w:lang w:val="en-US" w:eastAsia="ru-RU"/>
              </w:rPr>
              <w:t>hryvnias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  <w:hideMark/>
          </w:tcPr>
          <w:p w:rsidR="00AC5443" w:rsidRPr="00385A2B" w:rsidRDefault="00385A2B" w:rsidP="002F6328">
            <w:pPr>
              <w:spacing w:after="0" w:line="258" w:lineRule="atLeast"/>
              <w:ind w:left="2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241FD" w:rsidRPr="00385A2B" w:rsidRDefault="003241FD" w:rsidP="002F6328">
      <w:pPr>
        <w:rPr>
          <w:lang w:val="en-US"/>
        </w:rPr>
      </w:pPr>
    </w:p>
    <w:sectPr w:rsidR="003241FD" w:rsidRPr="00385A2B" w:rsidSect="003241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116D"/>
    <w:multiLevelType w:val="hybridMultilevel"/>
    <w:tmpl w:val="2A569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021CE"/>
    <w:multiLevelType w:val="multilevel"/>
    <w:tmpl w:val="257C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85A2B"/>
    <w:rsid w:val="0001145E"/>
    <w:rsid w:val="000D462B"/>
    <w:rsid w:val="0018044C"/>
    <w:rsid w:val="002F6328"/>
    <w:rsid w:val="003241FD"/>
    <w:rsid w:val="00385A2B"/>
    <w:rsid w:val="005C54F2"/>
    <w:rsid w:val="00676BA8"/>
    <w:rsid w:val="00690C5E"/>
    <w:rsid w:val="006E4A6A"/>
    <w:rsid w:val="00723D42"/>
    <w:rsid w:val="007A0590"/>
    <w:rsid w:val="00985479"/>
    <w:rsid w:val="00AC5443"/>
    <w:rsid w:val="00D87B04"/>
    <w:rsid w:val="00EA02AF"/>
    <w:rsid w:val="00EB3E12"/>
    <w:rsid w:val="00ED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B04"/>
    <w:pPr>
      <w:contextualSpacing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4F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7</cp:revision>
  <dcterms:created xsi:type="dcterms:W3CDTF">2020-06-01T04:25:00Z</dcterms:created>
  <dcterms:modified xsi:type="dcterms:W3CDTF">2020-06-01T19:20:00Z</dcterms:modified>
</cp:coreProperties>
</file>