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Quarterly Report — Q3 2026</w:t>
      </w:r>
    </w:p>
    <w:p>
      <w:pPr>
        <w:pStyle w:val="BodyText"/>
        <w:bidi w:val="0"/>
        <w:rPr/>
      </w:pPr>
      <w:r>
        <w:rPr>
          <w:i/>
        </w:rPr>
        <w:t>Prepared by the analytics team.</w:t>
      </w:r>
      <w:r>
        <w:rPr/>
        <w:t xml:space="preserve"> This document shows what the SDK can do: headings, lists, tables, links and images. Text can be selected, scaled with a pinch and searched. The viewer reflows text for small screens, keeps tables scrollable and adapts colors to the dark theme. </w:t>
      </w:r>
    </w:p>
    <w:p>
      <w:pPr>
        <w:pStyle w:val="Heading2"/>
        <w:bidi w:val="0"/>
        <w:rPr/>
      </w:pPr>
      <w:r>
        <w:rPr/>
        <w:t>1. Key metrics</w:t>
      </w:r>
    </w:p>
    <w:p>
      <w:pPr>
        <w:pStyle w:val="BodyText"/>
        <w:bidi w:val="0"/>
        <w:ind w:hanging="0" w:left="0" w:right="0"/>
        <w:rPr/>
      </w:pPr>
      <w:r>
        <w:rPr/>
        <w:t xml:space="preserve">Revenue grew by </w:t>
      </w:r>
      <w:r>
        <w:rPr>
          <w:b/>
        </w:rPr>
        <w:t>18.4%</w:t>
      </w:r>
      <w:r>
        <w:rPr/>
        <w:t xml:space="preserve">, while </w:t>
      </w:r>
      <w:r>
        <w:rPr>
          <w:color w:val="D32F2F"/>
        </w:rPr>
        <w:t>customer churn</w:t>
      </w:r>
      <w:r>
        <w:rPr/>
        <w:t xml:space="preserve"> dropped to </w:t>
      </w:r>
      <w:r>
        <w:rPr>
          <w:u w:val="single"/>
        </w:rPr>
        <w:t>2.1%</w:t>
      </w:r>
      <w:r>
        <w:rPr/>
        <w:t xml:space="preserve">. Details are on the </w:t>
      </w:r>
      <w:hyperlink r:id="rId2">
        <w:r>
          <w:rPr>
            <w:rStyle w:val="Hyperlink"/>
          </w:rPr>
          <w:t>Jetpack Compose</w:t>
        </w:r>
      </w:hyperlink>
      <w:r>
        <w:rPr/>
        <w:t xml:space="preserve"> website.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New users: </w:t>
      </w:r>
      <w:r>
        <w:rPr>
          <w:b/>
        </w:rPr>
        <w:t>124,500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Average order: $34.20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NPS: 61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4572000" cy="2286000"/>
            <wp:effectExtent l="0" t="0" r="0" b="0"/>
            <wp:docPr id="1" name="Image1" descr="Revenue by mo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venue by month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rPr/>
      </w:pPr>
      <w:r>
        <w:rPr/>
        <w:t>2. Sales by region</w:t>
      </w:r>
    </w:p>
    <w:tbl>
      <w:tblPr>
        <w:tblW w:w="5121" w:type="dxa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630"/>
        <w:gridCol w:w="830"/>
        <w:gridCol w:w="830"/>
        <w:gridCol w:w="830"/>
        <w:gridCol w:w="1001"/>
      </w:tblGrid>
      <w:tr>
        <w:trPr/>
        <w:tc>
          <w:tcPr>
            <w:tcW w:w="16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Region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Q1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Q2</w:t>
            </w:r>
          </w:p>
        </w:tc>
        <w:tc>
          <w:tcPr>
            <w:tcW w:w="8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Q3</w:t>
            </w:r>
          </w:p>
        </w:tc>
        <w:tc>
          <w:tcPr>
            <w:tcW w:w="10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Change</w:t>
            </w:r>
          </w:p>
        </w:tc>
      </w:tr>
      <w:tr>
        <w:trPr/>
        <w:tc>
          <w:tcPr>
            <w:tcW w:w="16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North America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12,400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13,900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15,750</w:t>
            </w:r>
          </w:p>
        </w:tc>
        <w:tc>
          <w:tcPr>
            <w:tcW w:w="10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+13%</w:t>
            </w:r>
          </w:p>
        </w:tc>
      </w:tr>
      <w:tr>
        <w:trPr/>
        <w:tc>
          <w:tcPr>
            <w:tcW w:w="16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Europe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8,100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8,650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9,920</w:t>
            </w:r>
          </w:p>
        </w:tc>
        <w:tc>
          <w:tcPr>
            <w:tcW w:w="10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+15%</w:t>
            </w:r>
          </w:p>
        </w:tc>
      </w:tr>
      <w:tr>
        <w:trPr/>
        <w:tc>
          <w:tcPr>
            <w:tcW w:w="16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Asia Pacific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3,300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3,410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3,980</w:t>
            </w:r>
          </w:p>
        </w:tc>
        <w:tc>
          <w:tcPr>
            <w:tcW w:w="10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+17%</w:t>
            </w:r>
          </w:p>
        </w:tc>
      </w:tr>
      <w:tr>
        <w:trPr/>
        <w:tc>
          <w:tcPr>
            <w:tcW w:w="16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Latin America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2,870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3,020</w:t>
            </w:r>
          </w:p>
        </w:tc>
        <w:tc>
          <w:tcPr>
            <w:tcW w:w="8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3,150</w:t>
            </w:r>
          </w:p>
        </w:tc>
        <w:tc>
          <w:tcPr>
            <w:tcW w:w="10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+4%</w:t>
            </w:r>
          </w:p>
        </w:tc>
      </w:tr>
    </w:tbl>
    <w:p>
      <w:pPr>
        <w:pStyle w:val="Heading2"/>
        <w:bidi w:val="0"/>
        <w:rPr/>
      </w:pPr>
      <w:r>
        <w:rPr/>
        <w:t>3. Plan for next quarter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Ship the in-app document viewer.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Add search to PDF documents.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Support the dark theme.</w:t>
      </w:r>
    </w:p>
    <w:p>
      <w:pPr>
        <w:pStyle w:val="Heading3"/>
        <w:bidi w:val="0"/>
        <w:rPr/>
      </w:pPr>
      <w:r>
        <w:rPr/>
        <w:t>3.1. Risks</w:t>
      </w:r>
    </w:p>
    <w:p>
      <w:pPr>
        <w:pStyle w:val="BodyText"/>
        <w:bidi w:val="0"/>
        <w:rPr/>
      </w:pPr>
      <w:r>
        <w:rPr/>
        <w:t xml:space="preserve">This document shows what the SDK can do: headings, lists, tables, links and images. Text can be selected, scaled with a pinch and searched. The viewer reflows text for small screens, keeps tables scrollable and adapts colors to the dark theme. This document shows what the SDK can do: headings, lists, tables, links and images. Text can be selected, scaled with a pinch and searched. The viewer reflows text for small screens, keeps tables scrollable and adapts colors to the dark theme. </w:t>
      </w:r>
    </w:p>
    <w:p>
      <w:pPr>
        <w:pStyle w:val="BodyText"/>
        <w:bidi w:val="0"/>
        <w:spacing w:before="0" w:after="140"/>
        <w:ind w:hanging="0" w:left="0" w:right="0"/>
        <w:jc w:val="center"/>
        <w:rPr>
          <w:b/>
        </w:rPr>
      </w:pPr>
      <w:r>
        <w:rPr>
          <w:b/>
        </w:rPr>
        <w:t>Thank you!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Linux Libertine G" w:cs="Noto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Linux Libertine G" w:cs="Noto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ndroid.com/develop/ui/compose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Quarterly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