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Author"/>
      </w:pPr>
      <w:r>
        <w:t xml:space="preserve">April</w:t>
      </w:r>
      <w:r>
        <w:t xml:space="preserve"> </w:t>
      </w:r>
      <w:r>
        <w:t xml:space="preserve">2017</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6"/>
      </w:pPr>
      <w:bookmarkStart w:id="21" w:name="section"/>
      <w:bookmarkEnd w:id="21"/>
    </w:p>
    <w:p>
      <w:pPr>
        <w:pStyle w:val="Heading1"/>
      </w:pPr>
      <w:bookmarkStart w:id="22" w:name="introduction"/>
      <w:bookmarkEnd w:id="22"/>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(Volpe)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3" w:name="methods"/>
      <w:bookmarkEnd w:id="23"/>
      <w:r>
        <w:t xml:space="preserve">Methods</w:t>
      </w:r>
    </w:p>
    <w:p>
      <w:pPr>
        <w:pStyle w:val="Heading2"/>
      </w:pPr>
      <w:bookmarkStart w:id="24" w:name="data-collection"/>
      <w:bookmarkEnd w:id="24"/>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5" w:name="calculating-effect-size"/>
      <w:bookmarkEnd w:id="25"/>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(ES) associated with activation of the DSFS appropriately for each hypothesis. The calculation of effect sizes are based on the difference between the mean speeds adjacent to the DSFS during the period in which it is active,</w:t>
      </w:r>
    </w:p>
    <w:p>
      <w:pPr>
        <w:pStyle w:val="BodyText"/>
      </w:pPr>
      <m:oMathPara>
        <m:oMathParaPr>
          <m:jc m:val="center"/>
        </m:oMathParaPr>
        <m:oMath>
          <m:sSub>
            <m:e>
              <m:bar>
                <m:barPr>
                  <m:pos m:val="top"/>
                </m:barPr>
                <m:e>
                  <m:r>
                    <m:t>X</m:t>
                  </m:r>
                </m:e>
              </m:bar>
            </m:e>
            <m:sub>
              <m:r>
                <m:t>D</m:t>
              </m:r>
              <m:r>
                <m:t>S</m:t>
              </m:r>
              <m:r>
                <m:t>F</m:t>
              </m:r>
              <m:r>
                <m:t>S</m:t>
              </m:r>
            </m:sub>
          </m:sSub>
        </m:oMath>
      </m:oMathPara>
    </w:p>
    <w:p>
      <w:pPr>
        <w:pStyle w:val="FirstParagraph"/>
      </w:pPr>
      <w:r>
        <w:t xml:space="preserve">The sample mean speed adjacent the DSFS before activation is defined as</w:t>
      </w:r>
    </w:p>
    <w:p>
      <w:pPr>
        <w:pStyle w:val="BodyText"/>
      </w:pPr>
      <m:oMathPara>
        <m:oMathParaPr>
          <m:jc m:val="center"/>
        </m:oMathParaPr>
        <m:oMath>
          <m:sSub>
            <m:e>
              <m:bar>
                <m:barPr>
                  <m:pos m:val="top"/>
                </m:barPr>
                <m:e>
                  <m:r>
                    <m:t>X</m:t>
                  </m:r>
                </m:e>
              </m:bar>
            </m:e>
            <m:sub>
              <m:r>
                <m:t>B</m:t>
              </m:r>
              <m:r>
                <m:t>e</m:t>
              </m:r>
              <m:r>
                <m:t>f</m:t>
              </m:r>
              <m:r>
                <m:t>o</m:t>
              </m:r>
              <m:r>
                <m:t>r</m:t>
              </m:r>
              <m:r>
                <m:t>e</m:t>
              </m:r>
            </m:sub>
          </m:sSub>
        </m:oMath>
      </m:oMathPara>
    </w:p>
    <w:p>
      <w:pPr>
        <w:pStyle w:val="FirstParagraph"/>
      </w:pPr>
      <w:r>
        <w:t xml:space="preserve">The ES 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(Hedges and Olkin 1985). The pooled standard deviation is calculated following standard calculations.</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w:t>
      </w:r>
    </w:p>
    <w:p>
      <w:pPr>
        <w:pStyle w:val="BodyText"/>
      </w:pPr>
      <w:r>
        <w:t xml:space="preserve">Effect sizes based on normalized "true effects"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(see Hypothesis testing) 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Hypothesis testing (below)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2"/>
      </w:pPr>
      <w:bookmarkStart w:id="26" w:name="hypothesis-testing"/>
      <w:bookmarkEnd w:id="26"/>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teh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Heading1"/>
      </w:pPr>
      <w:bookmarkStart w:id="27" w:name="results"/>
      <w:bookmarkEnd w:id="27"/>
      <w:r>
        <w:t xml:space="preserve">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quantiative meta-analysis. From these publications, 57 studies were identified, with a total of 204 sites at which the effectiveness of DSFS were evaluated (Table</w:t>
      </w:r>
      <w:r>
        <w:t xml:space="preserve"> </w:t>
      </w:r>
      <w:r>
        <w:t xml:space="preserve">).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requried studies report the significance of the result, not necessarily providing the underlying data for a meta-analysis.</w:t>
      </w:r>
    </w:p>
    <w:p>
      <w:pPr>
        <w:pStyle w:val="TableCaption"/>
      </w:pPr>
      <w:r>
        <w:t xml:space="preserve">Summary of the number of publications, studies, and individual sites which can be used to test each of the 13 hypotheses.</w:t>
      </w:r>
    </w:p>
    <w:tbl>
      <w:tblPr>
        <w:tblStyle w:val="TableNormal"/>
        <w:tblW w:type="pct" w:w="0.0"/>
        <w:tblLook w:firstRow="1"/>
        <w:tblCaption w:val="Summary of the number of publications, studies, and individual sites which can be used to test each of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9" w:name="h1-activation-hypothesis"/>
      <w:bookmarkEnd w:id="29"/>
      <w:r>
        <w:t xml:space="preserve">H1: Activation hypothesis</w:t>
      </w:r>
    </w:p>
    <w:p>
      <w:pPr>
        <w:pStyle w:val="FirstParagraph"/>
      </w:pPr>
      <w:r>
        <w:t xml:space="preserve">The three versions of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Decreases in speed for Hypothesis H1A, normalized activation effect of DSFS, by vehicle type.</w:t>
      </w:r>
    </w:p>
    <w:tbl>
      <w:tblPr>
        <w:tblStyle w:val="TableNormal"/>
        <w:tblW w:type="pct" w:w="0.0"/>
        <w:tblLook w:firstRow="1"/>
        <w:tblCaption w:val="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Heading3"/>
      </w:pPr>
      <w:bookmarkStart w:id="31" w:name="h1b-activation-at-site-of-dsfs"/>
      <w:bookmarkEnd w:id="31"/>
      <w:r>
        <w:t xml:space="preserve">H1B: Activation at site of DSFS</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Decreases in speed for Hypothesis H1B, activation effect of DSFS, by location and vehicle type.</w:t>
      </w:r>
    </w:p>
    <w:tbl>
      <w:tblPr>
        <w:tblStyle w:val="TableNormal"/>
        <w:tblW w:type="pct" w:w="0.0"/>
        <w:tblLook w:firstRow="1"/>
        <w:tblCaption w:val="Decreases in speed for Hypothesis H1B, activation effect of DSFS, by location and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Upstream</w:t>
            </w:r>
          </w:p>
        </w:tc>
        <w:tc>
          <w:p>
            <w:pPr>
              <w:pStyle w:val="Compact"/>
              <w:jc w:val="right"/>
            </w:pPr>
            <w:r>
              <w:t xml:space="preserve">-2.04</w:t>
            </w:r>
          </w:p>
        </w:tc>
        <w:tc>
          <w:p>
            <w:pPr>
              <w:pStyle w:val="Compact"/>
              <w:jc w:val="right"/>
            </w:pPr>
            <w:r>
              <w:t xml:space="preserve">0.15</w:t>
            </w:r>
          </w:p>
        </w:tc>
        <w:tc>
          <w:p>
            <w:pPr>
              <w:pStyle w:val="Compact"/>
              <w:jc w:val="right"/>
            </w:pPr>
            <w:r>
              <w:t xml:space="preserve">210</w:t>
            </w:r>
          </w:p>
        </w:tc>
      </w:tr>
      <w:tr>
        <w:tc>
          <w:p>
            <w:pPr>
              <w:pStyle w:val="Compact"/>
              <w:jc w:val="left"/>
            </w:pPr>
            <w:r>
              <w:t xml:space="preserve">Adjacent</w:t>
            </w:r>
          </w:p>
        </w:tc>
        <w:tc>
          <w:p>
            <w:pPr>
              <w:pStyle w:val="Compact"/>
              <w:jc w:val="right"/>
            </w:pPr>
            <w:r>
              <w:t xml:space="preserve">-2.92</w:t>
            </w:r>
          </w:p>
        </w:tc>
        <w:tc>
          <w:p>
            <w:pPr>
              <w:pStyle w:val="Compact"/>
              <w:jc w:val="right"/>
            </w:pPr>
            <w:r>
              <w:t xml:space="preserve">0.50</w:t>
            </w:r>
          </w:p>
        </w:tc>
        <w:tc>
          <w:p>
            <w:pPr>
              <w:pStyle w:val="Compact"/>
              <w:jc w:val="right"/>
            </w:pPr>
            <w:r>
              <w:t xml:space="preserve">228</w:t>
            </w:r>
          </w:p>
        </w:tc>
      </w:tr>
      <w:tr>
        <w:tc>
          <w:p>
            <w:pPr>
              <w:pStyle w:val="Compact"/>
              <w:jc w:val="left"/>
            </w:pPr>
            <w:r>
              <w:t xml:space="preserve">Downstream</w:t>
            </w:r>
          </w:p>
        </w:tc>
        <w:tc>
          <w:p>
            <w:pPr>
              <w:pStyle w:val="Compact"/>
              <w:jc w:val="right"/>
            </w:pPr>
            <w:r>
              <w:t xml:space="preserve">-1.36</w:t>
            </w:r>
          </w:p>
        </w:tc>
        <w:tc>
          <w:p>
            <w:pPr>
              <w:pStyle w:val="Compact"/>
              <w:jc w:val="right"/>
            </w:pPr>
            <w:r>
              <w:t xml:space="preserve">1.64</w:t>
            </w:r>
          </w:p>
        </w:tc>
        <w:tc>
          <w:p>
            <w:pPr>
              <w:pStyle w:val="Compact"/>
              <w:jc w:val="right"/>
            </w:pPr>
            <w:r>
              <w:t xml:space="preserve">287</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-3.45 mph at the location adjacent to the sign. This overall effect is calculated as the sum of the intercept across Within passenger cars, this decrease is even more pronounced with an estiamted additional decrease of -0.55 mph. Thus, approximately 4 mph decrease is expected for passenger cars at DSFS locations.</w:t>
      </w:r>
    </w:p>
    <w:p>
      <w:pPr>
        <w:pStyle w:val="BodyText"/>
      </w:pPr>
      <w:r>
        <w:t xml:space="preserve">The reductions in speeds for trucks is more modest, with the speed reduction smaller by 0.42 mph, so 3.00 mph decrease is expected for trucks adjacent to DSFS.</w:t>
      </w:r>
    </w:p>
    <w:p>
      <w:pPr>
        <w:pStyle w:val="TableCaption"/>
      </w:pPr>
      <w:r>
        <w:t xml:space="preserve">Summary of mixed effect model of hypothesis H1B, difference in speeds betwen DSFS before and at time of activation.</w:t>
      </w:r>
    </w:p>
    <w:tbl>
      <w:tblPr>
        <w:tblStyle w:val="TableNormal"/>
        <w:tblW w:type="pct" w:w="0.0"/>
        <w:tblLook w:firstRow="1"/>
        <w:tblCaption w:val="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-0.584</w:t>
            </w:r>
          </w:p>
        </w:tc>
        <w:tc>
          <w:p>
            <w:pPr>
              <w:pStyle w:val="Compact"/>
              <w:jc w:val="left"/>
            </w:pPr>
            <w:r>
              <w:t xml:space="preserve">0.562</w:t>
            </w:r>
          </w:p>
        </w:tc>
        <w:tc>
          <w:p>
            <w:pPr>
              <w:pStyle w:val="Compact"/>
              <w:jc w:val="left"/>
            </w:pPr>
            <w:r>
              <w:t xml:space="preserve">-1.038</w:t>
            </w:r>
          </w:p>
        </w:tc>
      </w:tr>
      <w:tr>
        <w:tc>
          <w:p>
            <w:pPr>
              <w:pStyle w:val="Compact"/>
              <w:jc w:val="left"/>
            </w:pPr>
            <w:r>
              <w:t xml:space="preserve">location2 adjacent</w:t>
            </w:r>
          </w:p>
        </w:tc>
        <w:tc>
          <w:p>
            <w:pPr>
              <w:pStyle w:val="Compact"/>
              <w:jc w:val="left"/>
            </w:pPr>
            <w:r>
              <w:t xml:space="preserve">-2.862</w:t>
            </w:r>
          </w:p>
        </w:tc>
        <w:tc>
          <w:p>
            <w:pPr>
              <w:pStyle w:val="Compact"/>
              <w:jc w:val="left"/>
            </w:pPr>
            <w:r>
              <w:t xml:space="preserve">0.406</w:t>
            </w:r>
          </w:p>
        </w:tc>
        <w:tc>
          <w:p>
            <w:pPr>
              <w:pStyle w:val="Compact"/>
              <w:jc w:val="left"/>
            </w:pPr>
            <w:r>
              <w:t xml:space="preserve">-7.046</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-0.54</w:t>
            </w:r>
          </w:p>
        </w:tc>
        <w:tc>
          <w:p>
            <w:pStyle w:val="Compact"/>
          </w:p>
        </w:tc>
        <w:tc>
          <w:p>
            <w:pStyle w:val="Compact"/>
          </w:p>
        </w:tc>
      </w:tr>
      <w:tr>
        <w:tc>
          <w:p>
            <w:pPr>
              <w:pStyle w:val="Compact"/>
              <w:jc w:val="left"/>
            </w:pPr>
            <w:r>
              <w:t xml:space="preserve">Car</w:t>
            </w:r>
          </w:p>
        </w:tc>
        <w:tc>
          <w:p>
            <w:pPr>
              <w:pStyle w:val="Compact"/>
              <w:jc w:val="left"/>
            </w:pPr>
            <w:r>
              <w:t xml:space="preserve">-1.1</w:t>
            </w:r>
          </w:p>
        </w:tc>
        <w:tc>
          <w:p>
            <w:pStyle w:val="Compact"/>
          </w:p>
        </w:tc>
        <w:tc>
          <w:p>
            <w:pStyle w:val="Compact"/>
          </w:p>
        </w:tc>
      </w:tr>
      <w:tr>
        <w:tc>
          <w:p>
            <w:pPr>
              <w:pStyle w:val="Compact"/>
              <w:jc w:val="left"/>
            </w:pPr>
            <w:r>
              <w:t xml:space="preserve">Truck</w:t>
            </w:r>
          </w:p>
        </w:tc>
        <w:tc>
          <w:p>
            <w:pPr>
              <w:pStyle w:val="Compact"/>
              <w:jc w:val="left"/>
            </w:pPr>
            <w:r>
              <w:t xml:space="preserve">-0.11</w:t>
            </w:r>
          </w:p>
        </w:tc>
        <w:tc>
          <w:p>
            <w:pStyle w:val="Compact"/>
          </w:p>
        </w:tc>
        <w:tc>
          <w:p>
            <w:pStyle w:val="Compact"/>
          </w:p>
        </w:tc>
      </w:tr>
    </w:tbl>
    <w:p>
      <w:pPr>
        <w:pStyle w:val="BodyText"/>
      </w:pPr>
      <w:r>
        <w:t xml:space="preserve">Visual</w:t>
      </w:r>
    </w:p>
    <w:p>
      <w:pPr>
        <w:pStyle w:val="FigureWithCaption"/>
      </w:pP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p>
    <w:p>
      <w:pPr>
        <w:pStyle w:val="ImageCaption"/>
      </w:pPr>
      <w:r>
        <w:t xml:space="preserve">Plot of effect sizes for hypothesis H1B, effect of DSFS adjacent to sign site.</w:t>
      </w:r>
    </w:p>
    <w:p>
      <w:pPr>
        <w:pStyle w:val="Heading3"/>
      </w:pPr>
      <w:bookmarkStart w:id="33" w:name="h1c"/>
      <w:bookmarkEnd w:id="33"/>
      <w:r>
        <w:t xml:space="preserve">H1C</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Decreases in speed for Hypothesis H1C, activation effect of DSFS downstream, by vehicle type.</w:t>
      </w:r>
    </w:p>
    <w:tbl>
      <w:tblPr>
        <w:tblStyle w:val="TableNormal"/>
        <w:tblW w:type="pct" w:w="0.0"/>
        <w:tblLook w:firstRow="1"/>
        <w:tblCaption w:val="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TableCaption"/>
      </w:pPr>
      <w:r>
        <w:t xml:space="preserve">Summary of mixed effect model of hypothesis H1C, difference in speeds between DSFS upstream and adjacent to the sign.</w:t>
      </w:r>
    </w:p>
    <w:tbl>
      <w:tblPr>
        <w:tblStyle w:val="TableNormal"/>
        <w:tblW w:type="pct" w:w="0.0"/>
        <w:tblLook w:firstRow="1"/>
        <w:tblCaption w:val="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-8.615</w:t>
            </w:r>
          </w:p>
        </w:tc>
        <w:tc>
          <w:p>
            <w:pPr>
              <w:pStyle w:val="Compact"/>
              <w:jc w:val="right"/>
            </w:pPr>
            <w:r>
              <w:t xml:space="preserve">3.254</w:t>
            </w:r>
          </w:p>
        </w:tc>
        <w:tc>
          <w:p>
            <w:pPr>
              <w:pStyle w:val="Compact"/>
              <w:jc w:val="right"/>
            </w:pPr>
            <w:r>
              <w:t xml:space="preserve">-2.647</w:t>
            </w:r>
          </w:p>
        </w:tc>
      </w:tr>
    </w:tbl>
    <w:p>
      <w:pPr>
        <w:pStyle w:val="BodyText"/>
      </w:pPr>
      <w:r>
        <w:drawing>
          <wp:inline>
            <wp:extent cx="3696101" cy="2772075"/>
            <wp:effectExtent b="0" l="0" r="0" t="0"/>
            <wp:docPr descr="" id="1" name="Picture"/>
            <a:graphic>
              <a:graphicData uri="http://schemas.openxmlformats.org/drawingml/2006/picture">
                <pic:pic>
                  <pic:nvPicPr>
                    <pic:cNvPr descr="MA_Report_files/figure-docx/unnamed-chunk-7-1.png" id="0" name="Picture"/>
                    <pic:cNvPicPr>
                      <a:picLocks noChangeArrowheads="1" noChangeAspect="1"/>
                    </pic:cNvPicPr>
                  </pic:nvPicPr>
                  <pic:blipFill>
                    <a:blip r:embed="rId34"/>
                    <a:stretch>
                      <a:fillRect/>
                    </a:stretch>
                  </pic:blipFill>
                  <pic:spPr bwMode="auto">
                    <a:xfrm>
                      <a:off x="0" y="0"/>
                      <a:ext cx="3696101" cy="2772075"/>
                    </a:xfrm>
                    <a:prstGeom prst="rect">
                      <a:avLst/>
                    </a:prstGeom>
                    <a:noFill/>
                    <a:ln w="9525">
                      <a:noFill/>
                      <a:headEnd/>
                      <a:tailEnd/>
                    </a:ln>
                  </pic:spPr>
                </pic:pic>
              </a:graphicData>
            </a:graphic>
          </wp:inline>
        </w:drawing>
      </w:r>
    </w:p>
    <w:sectPr w:rsidR="000A6317" w:rsidRPr="000A6317"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b46263c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fdc6cbe8"/>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ee8c4de3"/>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848d0a1e"/>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4" Target="media/rId3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April 2017</dc:creator>
  <dcterms:created xsi:type="dcterms:W3CDTF">2017-03-31T21:14:04Z</dcterms:created>
  <dcterms:modified xsi:type="dcterms:W3CDTF">2017-03-31T21:14:04Z</dcterms:modified>
</cp:coreProperties>
</file>