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1.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NHTSA</w:t>
      </w:r>
      <w:r>
        <w:t xml:space="preserve"> </w:t>
      </w:r>
      <w:r>
        <w:t xml:space="preserve">DSFS</w:t>
      </w:r>
      <w:r>
        <w:t xml:space="preserve"> </w:t>
      </w:r>
      <w:r>
        <w:t xml:space="preserve">Meta-Analysis</w:t>
      </w:r>
    </w:p>
    <w:p>
      <w:pPr>
        <w:pStyle w:val="Author"/>
      </w:pPr>
      <w:r>
        <w:t xml:space="preserve">Dan</w:t>
      </w:r>
      <w:r>
        <w:t xml:space="preserve"> </w:t>
      </w:r>
      <w:r>
        <w:t xml:space="preserve">Flynn</w:t>
      </w:r>
    </w:p>
    <w:p>
      <w:pPr>
        <w:pStyle w:val="Heading1"/>
      </w:pPr>
      <w:bookmarkStart w:id="21" w:name="introduction"/>
      <w:bookmarkEnd w:id="21"/>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(Volpe)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2" w:name="methods"/>
      <w:bookmarkEnd w:id="22"/>
      <w:r>
        <w:t xml:space="preserve">Methods</w:t>
      </w:r>
    </w:p>
    <w:p>
      <w:pPr>
        <w:pStyle w:val="Heading2"/>
      </w:pPr>
      <w:bookmarkStart w:id="23" w:name="data-collection"/>
      <w:bookmarkEnd w:id="23"/>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4" w:name="calculating-effect-size"/>
      <w:bookmarkEnd w:id="24"/>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(ES) associated with activation of the DSFS appropriately for each hypothesis. The calculation of effect sizes are based on the difference between the mean speeds adjacent to the DSFS during the period in which it is active,</w:t>
      </w:r>
    </w:p>
    <w:p>
      <w:pPr>
        <w:pStyle w:val="BodyText"/>
      </w:pPr>
      <m:oMathPara>
        <m:oMathParaPr>
          <m:jc m:val="center"/>
        </m:oMathParaPr>
        <m:oMath>
          <m:sSub>
            <m:e>
              <m:bar>
                <m:barPr>
                  <m:pos m:val="top"/>
                </m:barPr>
                <m:e>
                  <m:r>
                    <m:t>X</m:t>
                  </m:r>
                </m:e>
              </m:bar>
            </m:e>
            <m:sub>
              <m:r>
                <m:t>D</m:t>
              </m:r>
              <m:r>
                <m:t>S</m:t>
              </m:r>
              <m:r>
                <m:t>F</m:t>
              </m:r>
              <m:r>
                <m:t>S</m:t>
              </m:r>
            </m:sub>
          </m:sSub>
        </m:oMath>
      </m:oMathPara>
    </w:p>
    <w:p>
      <w:pPr>
        <w:pStyle w:val="FirstParagraph"/>
      </w:pPr>
      <w:r>
        <w:t xml:space="preserve">The sample mean speed adjacent the DSFS before activation is defined as</w:t>
      </w:r>
    </w:p>
    <w:p>
      <w:pPr>
        <w:pStyle w:val="BodyText"/>
      </w:pPr>
      <m:oMathPara>
        <m:oMathParaPr>
          <m:jc m:val="center"/>
        </m:oMathParaPr>
        <m:oMath>
          <m:sSub>
            <m:e>
              <m:bar>
                <m:barPr>
                  <m:pos m:val="top"/>
                </m:barPr>
                <m:e>
                  <m:r>
                    <m:t>X</m:t>
                  </m:r>
                </m:e>
              </m:bar>
            </m:e>
            <m:sub>
              <m:r>
                <m:t>B</m:t>
              </m:r>
              <m:r>
                <m:t>e</m:t>
              </m:r>
              <m:r>
                <m:t>f</m:t>
              </m:r>
              <m:r>
                <m:t>o</m:t>
              </m:r>
              <m:r>
                <m:t>r</m:t>
              </m:r>
              <m:r>
                <m:t>e</m:t>
              </m:r>
            </m:sub>
          </m:sSub>
        </m:oMath>
      </m:oMathPara>
    </w:p>
    <w:p>
      <w:pPr>
        <w:pStyle w:val="FirstParagraph"/>
      </w:pPr>
      <w:r>
        <w:t xml:space="preserve">The ES 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This effect size calculation is also referred to as the standardized mean difference (Hedges and Olkin 1985). The pooled standard deviation is calculated following standard calculations.</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w:t>
      </w:r>
    </w:p>
    <w:p>
      <w:pPr>
        <w:pStyle w:val="BodyText"/>
      </w:pPr>
      <w:r>
        <w:t xml:space="preserve">Effect sizes based on normalized "true effects"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Table 2 provides general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(see Hypothesis testing) 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Hypothesis testing (below)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2"/>
      </w:pPr>
      <w:bookmarkStart w:id="25" w:name="hypothesis-testing"/>
      <w:bookmarkEnd w:id="25"/>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teh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Heading1"/>
      </w:pPr>
      <w:bookmarkStart w:id="26" w:name="results"/>
      <w:bookmarkEnd w:id="26"/>
      <w:r>
        <w:t xml:space="preserve">Results</w:t>
      </w:r>
    </w:p>
    <w:p>
      <w:pPr>
        <w:pStyle w:val="Heading2"/>
      </w:pPr>
      <w:bookmarkStart w:id="27" w:name="summary-of-data"/>
      <w:bookmarkEnd w:id="27"/>
      <w:r>
        <w:t xml:space="preserve">Summary of data</w:t>
      </w:r>
    </w:p>
    <w:p>
      <w:pPr>
        <w:pStyle w:val="FirstParagraph"/>
      </w:pPr>
      <w:r>
        <w:t xml:space="preserve">The literature review identified 43 publications with data appropriate for quantiative meta-analysis. From these publications, 57 studies were identified, with a total of 204 sites at which the effectiveness of DSFS were evaluated (Table</w:t>
      </w:r>
      <w:r>
        <w:t xml:space="preserve"> </w:t>
      </w:r>
      <w:r>
        <w:t xml:space="preserve">).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requried studies report the significance of the result, not necessarily providing the underlying data for a meta-analysis.</w:t>
      </w:r>
    </w:p>
    <w:p>
      <w:pPr>
        <w:pStyle w:val="TableCaption"/>
      </w:pPr>
      <w:r>
        <w:t xml:space="preserve">Summary of the number of publications, studies, and individual sites which can be used to test each of the 13 hypotheses.</w:t>
      </w:r>
    </w:p>
    <w:tbl>
      <w:tblPr>
        <w:tblStyle w:val="TableNormal"/>
        <w:tblW w:type="pct" w:w="0.0"/>
        <w:tblLook w:firstRow="1"/>
        <w:tblCaption w:val="Summary of the number of publications, studies, and individual sites which can be used to test each of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8" w:name="activation-hypothesis-h1"/>
      <w:bookmarkEnd w:id="28"/>
      <w:r>
        <w:t xml:space="preserve">Activation hypothesis: H1</w:t>
      </w:r>
    </w:p>
    <w:p>
      <w:pPr>
        <w:pStyle w:val="FirstParagraph"/>
      </w:pPr>
      <w:r>
        <w:t xml:space="preserve">The three versions of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29" w:name="h1a-activation-normalized"/>
      <w:bookmarkEnd w:id="29"/>
      <w:r>
        <w:t xml:space="preserve">H1A: Activation normalized</w:t>
      </w:r>
    </w:p>
    <w:p>
      <w:pPr>
        <w:pStyle w:val="FirstParagraph"/>
      </w:pPr>
      <w:r>
        <w:t xml:space="preserve">Examining the mean effect sizes across vehicle types, without carrying out any statiticaly modeling, it is clear that the largest decreases in speed were observed for passenger cars.</w:t>
      </w:r>
    </w:p>
    <w:p>
      <w:pPr>
        <w:pStyle w:val="TableCaption"/>
      </w:pPr>
      <w:r>
        <w:t xml:space="preserve">Decreases in speed for Hypothesis H1A, normalized activation effect of DSFS, by vehicle type.</w:t>
      </w:r>
    </w:p>
    <w:tbl>
      <w:tblPr>
        <w:tblStyle w:val="TableNormal"/>
        <w:tblW w:type="pct" w:w="0.0"/>
        <w:tblLook w:firstRow="1"/>
        <w:tblCaption w:val="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-2.729</w:t>
            </w:r>
          </w:p>
        </w:tc>
        <w:tc>
          <w:p>
            <w:pPr>
              <w:pStyle w:val="Compact"/>
              <w:jc w:val="right"/>
            </w:pPr>
            <w:r>
              <w:t xml:space="preserve">0.278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-3.905</w:t>
            </w:r>
          </w:p>
        </w:tc>
        <w:tc>
          <w:p>
            <w:pPr>
              <w:pStyle w:val="Compact"/>
              <w:jc w:val="right"/>
            </w:pPr>
            <w:r>
              <w:t xml:space="preserve">1.035</w:t>
            </w:r>
          </w:p>
        </w:tc>
        <w:tc>
          <w:p>
            <w:pPr>
              <w:pStyle w:val="Compact"/>
              <w:jc w:val="right"/>
            </w:pPr>
            <w:r>
              <w:t xml:space="preserve">16</w:t>
            </w:r>
          </w:p>
        </w:tc>
      </w:tr>
      <w:tr>
        <w:tc>
          <w:p>
            <w:pPr>
              <w:pStyle w:val="Compact"/>
              <w:jc w:val="left"/>
            </w:pPr>
            <w:r>
              <w:t xml:space="preserve">Truck</w:t>
            </w:r>
          </w:p>
        </w:tc>
        <w:tc>
          <w:p>
            <w:pPr>
              <w:pStyle w:val="Compact"/>
              <w:jc w:val="right"/>
            </w:pPr>
            <w:r>
              <w:t xml:space="preserve">-1.973</w:t>
            </w:r>
          </w:p>
        </w:tc>
        <w:tc>
          <w:p>
            <w:pPr>
              <w:pStyle w:val="Compact"/>
              <w:jc w:val="right"/>
            </w:pPr>
            <w:r>
              <w:t xml:space="preserve">4.401</w:t>
            </w:r>
          </w:p>
        </w:tc>
        <w:tc>
          <w:p>
            <w:pPr>
              <w:pStyle w:val="Compact"/>
              <w:jc w:val="right"/>
            </w:pPr>
            <w:r>
              <w:t xml:space="preserve">25</w:t>
            </w:r>
          </w:p>
        </w:tc>
      </w:tr>
    </w:tbl>
    <w:p>
      <w:pPr>
        <w:pStyle w:val="TableCaption"/>
      </w:pPr>
      <w:r>
        <w:t xml:space="preserve">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-2.703</w:t>
            </w:r>
          </w:p>
        </w:tc>
        <w:tc>
          <w:p>
            <w:pPr>
              <w:pStyle w:val="Compact"/>
              <w:jc w:val="right"/>
            </w:pPr>
            <w:r>
              <w:t xml:space="preserve">0.817</w:t>
            </w:r>
          </w:p>
        </w:tc>
        <w:tc>
          <w:p>
            <w:pPr>
              <w:pStyle w:val="Compact"/>
              <w:jc w:val="right"/>
            </w:pPr>
            <w:r>
              <w:t xml:space="preserve">-3.309</w:t>
            </w:r>
          </w:p>
        </w:tc>
      </w:tr>
      <w:tr>
        <w:tc>
          <w:p>
            <w:pPr>
              <w:pStyle w:val="Compact"/>
              <w:jc w:val="left"/>
            </w:pPr>
            <w:r>
              <w:t xml:space="preserve">Overall, the d</w:t>
            </w:r>
          </w:p>
        </w:tc>
        <w:tc>
          <w:p>
            <w:pPr>
              <w:pStyle w:val="Compact"/>
              <w:jc w:val="right"/>
            </w:pPr>
            <w:r>
              <w:t xml:space="preserve">ecrease in</w:t>
            </w:r>
          </w:p>
        </w:tc>
        <w:tc>
          <w:p>
            <w:pPr>
              <w:pStyle w:val="Compact"/>
              <w:jc w:val="right"/>
            </w:pPr>
            <w:r>
              <w:t xml:space="preserve">speed attribu</w:t>
            </w:r>
          </w:p>
        </w:tc>
        <w:tc>
          <w:p>
            <w:pPr>
              <w:pStyle w:val="Compact"/>
              <w:jc w:val="right"/>
            </w:pPr>
            <w:r>
              <w:t xml:space="preserve">ted to DSFS, normalized by upstream location, is -5.7 mph. Of the different grouping variables, vehicle type has the greatest influence, with cars showing an addtional -0.25 mph decrease. Trucks showed a smaller effect, with the decrease being smaller by 0.30 mph. Only 28 sites were available for this test.</w:t>
            </w:r>
          </w:p>
        </w:tc>
      </w:tr>
    </w:tbl>
    <w:p>
      <w:pPr>
        <w:pStyle w:val="Heading2"/>
      </w:pPr>
      <w:bookmarkStart w:id="30" w:name="h1b"/>
      <w:bookmarkEnd w:id="30"/>
      <w:r>
        <w:t xml:space="preserve">H1B</w:t>
      </w:r>
    </w:p>
    <w:p>
      <w:pPr>
        <w:pStyle w:val="FirstParagraph"/>
      </w:pPr>
      <w:r>
        <w:t xml:space="preserve">Calculations of effect sizes for H1B, the decrease in speed at the site of the DSFS, show decreasese in speed across all vehicle types and locations. The largest raw effect size was observed for passenger cars, where speeds were on average reduced by -4.52 mph.</w:t>
      </w:r>
    </w:p>
    <w:p>
      <w:pPr>
        <w:pStyle w:val="TableCaption"/>
      </w:pPr>
      <w:r>
        <w:t xml:space="preserve">Decreases in speed for Hypothesis H1B, activation effect of DSFS, by location and vehicle type.</w:t>
      </w:r>
    </w:p>
    <w:tbl>
      <w:tblPr>
        <w:tblStyle w:val="TableNormal"/>
        <w:tblW w:type="pct" w:w="0.0"/>
        <w:tblLook w:firstRow="1"/>
        <w:tblCaption w:val="Decreases in speed for Hypothesis H1B, activation effect of DSFS, by location and vehicle type."/>
      </w:tblPr>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1 upstream</w:t>
            </w:r>
          </w:p>
        </w:tc>
        <w:tc>
          <w:p>
            <w:pPr>
              <w:pStyle w:val="Compact"/>
              <w:jc w:val="left"/>
            </w:pPr>
            <w:r>
              <w:t xml:space="preserve">Unspecified</w:t>
            </w:r>
          </w:p>
        </w:tc>
        <w:tc>
          <w:p>
            <w:pPr>
              <w:pStyle w:val="Compact"/>
              <w:jc w:val="right"/>
            </w:pPr>
            <w:r>
              <w:t xml:space="preserve">-0.232</w:t>
            </w:r>
          </w:p>
        </w:tc>
        <w:tc>
          <w:p>
            <w:pPr>
              <w:pStyle w:val="Compact"/>
              <w:jc w:val="right"/>
            </w:pPr>
            <w:r>
              <w:t xml:space="preserve">0.153</w:t>
            </w:r>
          </w:p>
        </w:tc>
        <w:tc>
          <w:p>
            <w:pPr>
              <w:pStyle w:val="Compact"/>
              <w:jc w:val="right"/>
            </w:pPr>
            <w:r>
              <w:t xml:space="preserve">52</w:t>
            </w:r>
          </w:p>
        </w:tc>
      </w:tr>
      <w:tr>
        <w:tc>
          <w:p>
            <w:pPr>
              <w:pStyle w:val="Compact"/>
              <w:jc w:val="left"/>
            </w:pPr>
            <w:r>
              <w:t xml:space="preserve">2 adjacent</w:t>
            </w:r>
          </w:p>
        </w:tc>
        <w:tc>
          <w:p>
            <w:pPr>
              <w:pStyle w:val="Compact"/>
              <w:jc w:val="left"/>
            </w:pPr>
            <w:r>
              <w:t xml:space="preserve">Unspecified</w:t>
            </w:r>
          </w:p>
        </w:tc>
        <w:tc>
          <w:p>
            <w:pPr>
              <w:pStyle w:val="Compact"/>
              <w:jc w:val="right"/>
            </w:pPr>
            <w:r>
              <w:t xml:space="preserve">-2.687</w:t>
            </w:r>
          </w:p>
        </w:tc>
        <w:tc>
          <w:p>
            <w:pPr>
              <w:pStyle w:val="Compact"/>
              <w:jc w:val="right"/>
            </w:pPr>
            <w:r>
              <w:t xml:space="preserve">0.136</w:t>
            </w:r>
          </w:p>
        </w:tc>
        <w:tc>
          <w:p>
            <w:pPr>
              <w:pStyle w:val="Compact"/>
              <w:jc w:val="right"/>
            </w:pPr>
            <w:r>
              <w:t xml:space="preserve">130</w:t>
            </w:r>
          </w:p>
        </w:tc>
      </w:tr>
      <w:tr>
        <w:tc>
          <w:p>
            <w:pPr>
              <w:pStyle w:val="Compact"/>
              <w:jc w:val="left"/>
            </w:pPr>
            <w:r>
              <w:t xml:space="preserve">3 downstream</w:t>
            </w:r>
          </w:p>
        </w:tc>
        <w:tc>
          <w:p>
            <w:pPr>
              <w:pStyle w:val="Compact"/>
              <w:jc w:val="left"/>
            </w:pPr>
            <w:r>
              <w:t xml:space="preserve">Unspecified</w:t>
            </w:r>
          </w:p>
        </w:tc>
        <w:tc>
          <w:p>
            <w:pPr>
              <w:pStyle w:val="Compact"/>
              <w:jc w:val="right"/>
            </w:pPr>
            <w:r>
              <w:t xml:space="preserve">-3.072</w:t>
            </w:r>
          </w:p>
        </w:tc>
        <w:tc>
          <w:p>
            <w:pPr>
              <w:pStyle w:val="Compact"/>
              <w:jc w:val="right"/>
            </w:pPr>
            <w:r>
              <w:t xml:space="preserve">0.195</w:t>
            </w:r>
          </w:p>
        </w:tc>
        <w:tc>
          <w:p>
            <w:pPr>
              <w:pStyle w:val="Compact"/>
              <w:jc w:val="right"/>
            </w:pPr>
            <w:r>
              <w:t xml:space="preserve">28</w:t>
            </w:r>
          </w:p>
        </w:tc>
      </w:tr>
      <w:tr>
        <w:tc>
          <w:p>
            <w:pPr>
              <w:pStyle w:val="Compact"/>
              <w:jc w:val="left"/>
            </w:pPr>
            <w:r>
              <w:t xml:space="preserve">1 upstream</w:t>
            </w:r>
          </w:p>
        </w:tc>
        <w:tc>
          <w:p>
            <w:pPr>
              <w:pStyle w:val="Compact"/>
              <w:jc w:val="left"/>
            </w:pPr>
            <w:r>
              <w:t xml:space="preserve">Passenger</w:t>
            </w:r>
          </w:p>
        </w:tc>
        <w:tc>
          <w:p>
            <w:pPr>
              <w:pStyle w:val="Compact"/>
              <w:jc w:val="right"/>
            </w:pPr>
            <w:r>
              <w:t xml:space="preserve">-0.476</w:t>
            </w:r>
          </w:p>
        </w:tc>
        <w:tc>
          <w:p>
            <w:pPr>
              <w:pStyle w:val="Compact"/>
              <w:jc w:val="right"/>
            </w:pPr>
            <w:r>
              <w:t xml:space="preserve">0.470</w:t>
            </w:r>
          </w:p>
        </w:tc>
        <w:tc>
          <w:p>
            <w:pPr>
              <w:pStyle w:val="Compact"/>
              <w:jc w:val="right"/>
            </w:pPr>
            <w:r>
              <w:t xml:space="preserve">59</w:t>
            </w:r>
          </w:p>
        </w:tc>
      </w:tr>
      <w:tr>
        <w:tc>
          <w:p>
            <w:pPr>
              <w:pStyle w:val="Compact"/>
              <w:jc w:val="left"/>
            </w:pPr>
            <w:r>
              <w:t xml:space="preserve">2 adjacent</w:t>
            </w:r>
          </w:p>
        </w:tc>
        <w:tc>
          <w:p>
            <w:pPr>
              <w:pStyle w:val="Compact"/>
              <w:jc w:val="left"/>
            </w:pPr>
            <w:r>
              <w:t xml:space="preserve">Passenger</w:t>
            </w:r>
          </w:p>
        </w:tc>
        <w:tc>
          <w:p>
            <w:pPr>
              <w:pStyle w:val="Compact"/>
              <w:jc w:val="right"/>
            </w:pPr>
            <w:r>
              <w:t xml:space="preserve">-4.521</w:t>
            </w:r>
          </w:p>
        </w:tc>
        <w:tc>
          <w:p>
            <w:pPr>
              <w:pStyle w:val="Compact"/>
              <w:jc w:val="right"/>
            </w:pPr>
            <w:r>
              <w:t xml:space="preserve">0.601</w:t>
            </w:r>
          </w:p>
        </w:tc>
        <w:tc>
          <w:p>
            <w:pPr>
              <w:pStyle w:val="Compact"/>
              <w:jc w:val="right"/>
            </w:pPr>
            <w:r>
              <w:t xml:space="preserve">97</w:t>
            </w:r>
          </w:p>
        </w:tc>
      </w:tr>
      <w:tr>
        <w:tc>
          <w:p>
            <w:pPr>
              <w:pStyle w:val="Compact"/>
              <w:jc w:val="left"/>
            </w:pPr>
            <w:r>
              <w:t xml:space="preserve">3 downstream</w:t>
            </w:r>
          </w:p>
        </w:tc>
        <w:tc>
          <w:p>
            <w:pPr>
              <w:pStyle w:val="Compact"/>
              <w:jc w:val="left"/>
            </w:pPr>
            <w:r>
              <w:t xml:space="preserve">Passenger</w:t>
            </w:r>
          </w:p>
        </w:tc>
        <w:tc>
          <w:p>
            <w:pPr>
              <w:pStyle w:val="Compact"/>
              <w:jc w:val="right"/>
            </w:pPr>
            <w:r>
              <w:t xml:space="preserve">-2.725</w:t>
            </w:r>
          </w:p>
        </w:tc>
        <w:tc>
          <w:p>
            <w:pPr>
              <w:pStyle w:val="Compact"/>
              <w:jc w:val="right"/>
            </w:pPr>
            <w:r>
              <w:t xml:space="preserve">0.411</w:t>
            </w:r>
          </w:p>
        </w:tc>
        <w:tc>
          <w:p>
            <w:pPr>
              <w:pStyle w:val="Compact"/>
              <w:jc w:val="right"/>
            </w:pPr>
            <w:r>
              <w:t xml:space="preserve">72</w:t>
            </w:r>
          </w:p>
        </w:tc>
      </w:tr>
      <w:tr>
        <w:tc>
          <w:p>
            <w:pPr>
              <w:pStyle w:val="Compact"/>
              <w:jc w:val="left"/>
            </w:pPr>
            <w:r>
              <w:t xml:space="preserve">1 upstream</w:t>
            </w:r>
          </w:p>
        </w:tc>
        <w:tc>
          <w:p>
            <w:pPr>
              <w:pStyle w:val="Compact"/>
              <w:jc w:val="left"/>
            </w:pPr>
            <w:r>
              <w:t xml:space="preserve">Truck</w:t>
            </w:r>
          </w:p>
        </w:tc>
        <w:tc>
          <w:p>
            <w:pPr>
              <w:pStyle w:val="Compact"/>
              <w:jc w:val="right"/>
            </w:pPr>
            <w:r>
              <w:t xml:space="preserve">0.394</w:t>
            </w:r>
          </w:p>
        </w:tc>
        <w:tc>
          <w:p>
            <w:pPr>
              <w:pStyle w:val="Compact"/>
              <w:jc w:val="right"/>
            </w:pPr>
            <w:r>
              <w:t xml:space="preserve">2.167</w:t>
            </w:r>
          </w:p>
        </w:tc>
        <w:tc>
          <w:p>
            <w:pPr>
              <w:pStyle w:val="Compact"/>
              <w:jc w:val="right"/>
            </w:pPr>
            <w:r>
              <w:t xml:space="preserve">92</w:t>
            </w:r>
          </w:p>
        </w:tc>
      </w:tr>
      <w:tr>
        <w:tc>
          <w:p>
            <w:pPr>
              <w:pStyle w:val="Compact"/>
              <w:jc w:val="left"/>
            </w:pPr>
            <w:r>
              <w:t xml:space="preserve">2 adjacent</w:t>
            </w:r>
          </w:p>
        </w:tc>
        <w:tc>
          <w:p>
            <w:pPr>
              <w:pStyle w:val="Compact"/>
              <w:jc w:val="left"/>
            </w:pPr>
            <w:r>
              <w:t xml:space="preserve">Truck</w:t>
            </w:r>
          </w:p>
        </w:tc>
        <w:tc>
          <w:p>
            <w:pPr>
              <w:pStyle w:val="Compact"/>
              <w:jc w:val="right"/>
            </w:pPr>
            <w:r>
              <w:t xml:space="preserve">-2.129</w:t>
            </w:r>
          </w:p>
        </w:tc>
        <w:tc>
          <w:p>
            <w:pPr>
              <w:pStyle w:val="Compact"/>
              <w:jc w:val="right"/>
            </w:pPr>
            <w:r>
              <w:t xml:space="preserve">1.717</w:t>
            </w:r>
          </w:p>
        </w:tc>
        <w:tc>
          <w:p>
            <w:pPr>
              <w:pStyle w:val="Compact"/>
              <w:jc w:val="right"/>
            </w:pPr>
            <w:r>
              <w:t xml:space="preserve">121</w:t>
            </w:r>
          </w:p>
        </w:tc>
      </w:tr>
      <w:tr>
        <w:tc>
          <w:p>
            <w:pPr>
              <w:pStyle w:val="Compact"/>
              <w:jc w:val="left"/>
            </w:pPr>
            <w:r>
              <w:t xml:space="preserve">3 downstream</w:t>
            </w:r>
          </w:p>
        </w:tc>
        <w:tc>
          <w:p>
            <w:pPr>
              <w:pStyle w:val="Compact"/>
              <w:jc w:val="left"/>
            </w:pPr>
            <w:r>
              <w:t xml:space="preserve">Truck</w:t>
            </w:r>
          </w:p>
        </w:tc>
        <w:tc>
          <w:p>
            <w:pPr>
              <w:pStyle w:val="Compact"/>
              <w:jc w:val="right"/>
            </w:pPr>
            <w:r>
              <w:t xml:space="preserve">-2.207</w:t>
            </w:r>
          </w:p>
        </w:tc>
        <w:tc>
          <w:p>
            <w:pPr>
              <w:pStyle w:val="Compact"/>
              <w:jc w:val="right"/>
            </w:pPr>
            <w:r>
              <w:t xml:space="preserve">0.879</w:t>
            </w:r>
          </w:p>
        </w:tc>
        <w:tc>
          <w:p>
            <w:pPr>
              <w:pStyle w:val="Compact"/>
              <w:jc w:val="right"/>
            </w:pPr>
            <w:r>
              <w:t xml:space="preserve">74</w:t>
            </w:r>
          </w:p>
        </w:tc>
      </w:tr>
    </w:tbl>
    <w:p>
      <w:pPr>
        <w:pStyle w:val="BodyText"/>
      </w:pPr>
      <w:r>
        <w:t xml:space="preserve">Statistical test of H1B, which takes into account the variation at each level of site, study, and publication, as well as different vehicle types and safety foci, shows a significant decrease in speeds of -3.42 mph at the location adjacent to the sign. Within passenger cars, this decrease is even more pronounced with an estiamted additional decrease of -0.55 mph. Thus, approximately 4 mph decrease is expected for passenger cars at DSFS locations.</w:t>
      </w:r>
    </w:p>
    <w:p>
      <w:pPr>
        <w:pStyle w:val="BodyText"/>
      </w:pPr>
      <w:r>
        <w:t xml:space="preserve">The reductions in speeds for trucks is more modest, with the speed reduction smaller by 0.42 mph, so 3.00 mph decrease is expected for trucks adjacent to DSFS.</w:t>
      </w:r>
    </w:p>
    <w:p>
      <w:pPr>
        <w:pStyle w:val="TableCaption"/>
      </w:pPr>
      <w:r>
        <w:t xml:space="preserve">Summary of mixed effect model of hypothesis H1B, difference in speeds betwen DSFS before and at time of activation.</w:t>
      </w:r>
    </w:p>
    <w:tbl>
      <w:tblPr>
        <w:tblStyle w:val="TableNormal"/>
        <w:tblW w:type="pct" w:w="0.0"/>
        <w:tblLook w:firstRow="1"/>
        <w:tblCaption w:val="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-0.578</w:t>
            </w:r>
          </w:p>
        </w:tc>
        <w:tc>
          <w:p>
            <w:pPr>
              <w:pStyle w:val="Compact"/>
              <w:jc w:val="right"/>
            </w:pPr>
            <w:r>
              <w:t xml:space="preserve">0.562</w:t>
            </w:r>
          </w:p>
        </w:tc>
        <w:tc>
          <w:p>
            <w:pPr>
              <w:pStyle w:val="Compact"/>
              <w:jc w:val="right"/>
            </w:pPr>
            <w:r>
              <w:t xml:space="preserve">-1.030</w:t>
            </w:r>
          </w:p>
        </w:tc>
      </w:tr>
      <w:tr>
        <w:tc>
          <w:p>
            <w:pPr>
              <w:pStyle w:val="Compact"/>
              <w:jc w:val="left"/>
            </w:pPr>
            <w:r>
              <w:t xml:space="preserve">location2 adjacent</w:t>
            </w:r>
          </w:p>
        </w:tc>
        <w:tc>
          <w:p>
            <w:pPr>
              <w:pStyle w:val="Compact"/>
              <w:jc w:val="right"/>
            </w:pPr>
            <w:r>
              <w:t xml:space="preserve">-2.844</w:t>
            </w:r>
          </w:p>
        </w:tc>
        <w:tc>
          <w:p>
            <w:pPr>
              <w:pStyle w:val="Compact"/>
              <w:jc w:val="right"/>
            </w:pPr>
            <w:r>
              <w:t xml:space="preserve">0.399</w:t>
            </w:r>
          </w:p>
        </w:tc>
        <w:tc>
          <w:p>
            <w:pPr>
              <w:pStyle w:val="Compact"/>
              <w:jc w:val="right"/>
            </w:pPr>
            <w:r>
              <w:t xml:space="preserve">-7.128</w:t>
            </w:r>
          </w:p>
        </w:tc>
      </w:tr>
    </w:tbl>
    <w:p>
      <w:pPr>
        <w:pStyle w:val="SourceCode"/>
      </w:pPr>
      <w:r>
        <w:rPr>
          <w:rStyle w:val="VerbatimChar"/>
        </w:rPr>
        <w:t xml:space="preserve">## Computing p-values via Kenward-Roger approximation. Use `p.kr = FALSE` if computation takes too long.</w:t>
      </w:r>
    </w:p>
    <w:p>
      <w:pPr>
        <w:pStyle w:val="FirstParagraph"/>
      </w:pPr>
      <w:r>
        <w:drawing>
          <wp:inline>
            <wp:extent cx="3696101" cy="2772075"/>
            <wp:effectExtent b="0" l="0" r="0" t="0"/>
            <wp:docPr descr="" id="1" name="Picture"/>
            <a:graphic>
              <a:graphicData uri="http://schemas.openxmlformats.org/drawingml/2006/picture">
                <pic:pic>
                  <pic:nvPicPr>
                    <pic:cNvPr descr="MA_Report_files/figure-docx/unnamed-chunk-4-1.png" id="0" name="Picture"/>
                    <pic:cNvPicPr>
                      <a:picLocks noChangeArrowheads="1" noChangeAspect="1"/>
                    </pic:cNvPicPr>
                  </pic:nvPicPr>
                  <pic:blipFill>
                    <a:blip r:embed="rId31"/>
                    <a:stretch>
                      <a:fillRect/>
                    </a:stretch>
                  </pic:blipFill>
                  <pic:spPr bwMode="auto">
                    <a:xfrm>
                      <a:off x="0" y="0"/>
                      <a:ext cx="3696101" cy="2772075"/>
                    </a:xfrm>
                    <a:prstGeom prst="rect">
                      <a:avLst/>
                    </a:prstGeom>
                    <a:noFill/>
                    <a:ln w="9525">
                      <a:noFill/>
                      <a:headEnd/>
                      <a:tailEnd/>
                    </a:ln>
                  </pic:spPr>
                </pic:pic>
              </a:graphicData>
            </a:graphic>
          </wp:inline>
        </w:drawing>
      </w:r>
    </w:p>
    <w:p>
      <w:pPr>
        <w:pStyle w:val="Heading2"/>
      </w:pPr>
      <w:bookmarkStart w:id="32" w:name="h1c"/>
      <w:bookmarkEnd w:id="32"/>
      <w:r>
        <w:t xml:space="preserve">H1C</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Decreases in speed for Hypothesis H1C, activation effect of DSFS downstream, by vehicle type.</w:t>
      </w:r>
    </w:p>
    <w:tbl>
      <w:tblPr>
        <w:tblStyle w:val="TableNormal"/>
        <w:tblW w:type="pct" w:w="0.0"/>
        <w:tblLook w:firstRow="1"/>
        <w:tblCaption w:val="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TableCaption"/>
      </w:pPr>
      <w:r>
        <w:t xml:space="preserve">Summary of mixed effect model of hypothesis H1C, difference in speeds between DSFS upstream and adjacent to the sign.</w:t>
      </w:r>
    </w:p>
    <w:tbl>
      <w:tblPr>
        <w:tblStyle w:val="TableNormal"/>
        <w:tblW w:type="pct" w:w="0.0"/>
        <w:tblLook w:firstRow="1"/>
        <w:tblCaption w:val="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-8.615</w:t>
            </w:r>
          </w:p>
        </w:tc>
        <w:tc>
          <w:p>
            <w:pPr>
              <w:pStyle w:val="Compact"/>
              <w:jc w:val="right"/>
            </w:pPr>
            <w:r>
              <w:t xml:space="preserve">3.254</w:t>
            </w:r>
          </w:p>
        </w:tc>
        <w:tc>
          <w:p>
            <w:pPr>
              <w:pStyle w:val="Compact"/>
              <w:jc w:val="right"/>
            </w:pPr>
            <w:r>
              <w:t xml:space="preserve">-2.647</w:t>
            </w:r>
          </w:p>
        </w:tc>
      </w:tr>
    </w:tbl>
    <w:p>
      <w:pPr>
        <w:pStyle w:val="SourceCode"/>
      </w:pPr>
      <w:r>
        <w:rPr>
          <w:rStyle w:val="VerbatimChar"/>
        </w:rPr>
        <w:t xml:space="preserve">## Computing p-values via Kenward-Roger approximation. Use `p.kr = FALSE` if computation takes too long.</w:t>
      </w:r>
    </w:p>
    <w:p>
      <w:pPr>
        <w:pStyle w:val="FirstParagraph"/>
      </w:pPr>
      <w:r>
        <w:drawing>
          <wp:inline>
            <wp:extent cx="3696101" cy="2772075"/>
            <wp:effectExtent b="0" l="0" r="0" t="0"/>
            <wp:docPr descr="" id="1" name="Picture"/>
            <a:graphic>
              <a:graphicData uri="http://schemas.openxmlformats.org/drawingml/2006/picture">
                <pic:pic>
                  <pic:nvPicPr>
                    <pic:cNvPr descr="MA_Report_files/figure-docx/unnamed-chunk-6-1.png" id="0" name="Picture"/>
                    <pic:cNvPicPr>
                      <a:picLocks noChangeArrowheads="1" noChangeAspect="1"/>
                    </pic:cNvPicPr>
                  </pic:nvPicPr>
                  <pic:blipFill>
                    <a:blip r:embed="rId33"/>
                    <a:stretch>
                      <a:fillRect/>
                    </a:stretch>
                  </pic:blipFill>
                  <pic:spPr bwMode="auto">
                    <a:xfrm>
                      <a:off x="0" y="0"/>
                      <a:ext cx="3696101" cy="2772075"/>
                    </a:xfrm>
                    <a:prstGeom prst="rect">
                      <a:avLst/>
                    </a:prstGeom>
                    <a:noFill/>
                    <a:ln w="9525">
                      <a:noFill/>
                      <a:headEnd/>
                      <a:tailEnd/>
                    </a:ln>
                  </pic:spPr>
                </pic:pic>
              </a:graphicData>
            </a:graphic>
          </wp:inline>
        </w:drawing>
      </w:r>
    </w:p>
    <w:sectPr w:rsidR="00004639" w:rsidRPr="00AA291A"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9F5C3B20"/>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E462193E"/>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3E2C9A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6994CF6E"/>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9B545606"/>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4172022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43BE3142"/>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19C4F56E"/>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AED6D622"/>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844827CC"/>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e1e25e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406387f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f627fc4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44494e6e"/>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2">
    <w:abstractNumId w:val="1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1662"/>
    <w:rPr>
      <w:rFonts w:ascii="Calibri" w:hAnsi="Calibri"/>
      <w:sz w:val="22"/>
    </w:rPr>
  </w:style>
  <w:style w:type="paragraph" w:styleId="Heading1">
    <w:name w:val="heading 1"/>
    <w:basedOn w:val="Normal"/>
    <w:next w:val="BodyText"/>
    <w:uiPriority w:val="9"/>
    <w:qFormat/>
    <w:rsid w:val="001420C2"/>
    <w:pPr>
      <w:keepNext/>
      <w:keepLines/>
      <w:spacing w:before="480" w:after="0"/>
      <w:outlineLvl w:val="0"/>
    </w:pPr>
    <w:rPr>
      <w:rFonts w:ascii="Calibri Light" w:eastAsiaTheme="majorEastAsia" w:hAnsi="Calibri Light" w:cstheme="majorBidi"/>
      <w:bCs/>
      <w:color w:val="365F91" w:themeColor="accent1" w:themeShade="BF"/>
      <w:sz w:val="32"/>
      <w:szCs w:val="32"/>
    </w:rPr>
  </w:style>
  <w:style w:type="paragraph" w:styleId="Heading2">
    <w:name w:val="heading 2"/>
    <w:basedOn w:val="Normal"/>
    <w:next w:val="BodyText"/>
    <w:uiPriority w:val="9"/>
    <w:unhideWhenUsed/>
    <w:qFormat/>
    <w:rsid w:val="001E1662"/>
    <w:pPr>
      <w:keepNext/>
      <w:keepLines/>
      <w:spacing w:before="200" w:after="0"/>
      <w:outlineLvl w:val="1"/>
    </w:pPr>
    <w:rPr>
      <w:rFonts w:ascii="Calibri Light" w:eastAsiaTheme="majorEastAsia" w:hAnsi="Calibri Light" w:cstheme="majorBidi"/>
      <w:bCs/>
      <w:color w:val="4F81BD" w:themeColor="accent1"/>
      <w:sz w:val="26"/>
      <w:szCs w:val="32"/>
    </w:rPr>
  </w:style>
  <w:style w:type="paragraph" w:styleId="Heading3">
    <w:name w:val="heading 3"/>
    <w:basedOn w:val="Normal"/>
    <w:next w:val="BodyText"/>
    <w:uiPriority w:val="9"/>
    <w:unhideWhenUsed/>
    <w:qFormat/>
    <w:rsid w:val="00AA291A"/>
    <w:pPr>
      <w:keepNext/>
      <w:keepLines/>
      <w:spacing w:before="200" w:after="0"/>
      <w:outlineLvl w:val="2"/>
    </w:pPr>
    <w:rPr>
      <w:rFonts w:ascii="Calibri Light" w:eastAsiaTheme="majorEastAsia" w:hAnsi="Calibri Light" w:cstheme="majorBidi"/>
      <w:bCs/>
      <w:color w:val="000000" w:themeColor="tex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004639"/>
    <w:pPr>
      <w:spacing w:after="0"/>
    </w:pPr>
  </w:style>
  <w:style w:type="paragraph" w:styleId="Title">
    <w:name w:val="Title"/>
    <w:basedOn w:val="Normal"/>
    <w:next w:val="BodyText"/>
    <w:qFormat/>
    <w:rsid w:val="00EC3164"/>
    <w:pPr>
      <w:keepNext/>
      <w:keepLines/>
      <w:spacing w:before="480" w:after="240"/>
      <w:jc w:val="center"/>
    </w:pPr>
    <w:rPr>
      <w:rFonts w:ascii="Calibri Light" w:eastAsiaTheme="majorEastAsia" w:hAnsi="Calibri Light" w:cstheme="majorBidi"/>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1" Target="media/rId31.png" /><Relationship Type="http://schemas.openxmlformats.org/officeDocument/2006/relationships/image" Id="rId33" Target="media/rId3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39</Words>
  <Characters>224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NHTSA DSFS Meta-Analysis</dc:title>
  <dc:creator>Dan Flynn</dc:creator>
  <dcterms:created xsi:type="dcterms:W3CDTF">2017-03-30T20:38:11Z</dcterms:created>
  <dcterms:modified xsi:type="dcterms:W3CDTF">2017-03-30T20:38:11Z</dcterms:modified>
</cp:coreProperties>
</file>