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441C5">
      <w:pPr>
        <w:pStyle w:val="13"/>
        <w:widowControl/>
      </w:pPr>
      <w:r>
        <w:t>课堂讲稿整理</w:t>
      </w:r>
    </w:p>
    <w:p w14:paraId="4F709251">
      <w:pPr>
        <w:keepNext w:val="0"/>
        <w:keepLines w:val="0"/>
        <w:widowControl/>
        <w:suppressLineNumbers w:val="0"/>
        <w:jc w:val="left"/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B58605F">
      <w:pPr>
        <w:keepNext w:val="0"/>
        <w:keepLines w:val="0"/>
        <w:widowControl/>
        <w:suppressLineNumbers w:val="0"/>
        <w:jc w:val="left"/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7D1C387">
      <w:pPr>
        <w:pStyle w:val="2"/>
        <w:widowControl/>
      </w:pPr>
      <w:r>
        <w:t>开场与自我介绍</w:t>
      </w:r>
    </w:p>
    <w:p w14:paraId="744C04DF">
      <w:pPr>
        <w:pStyle w:val="11"/>
        <w:widowControl/>
        <w:rPr>
          <w:rStyle w:val="16"/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王奕然</w:t>
      </w:r>
    </w:p>
    <w:p w14:paraId="5A03394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各位同学，大家好。</w:t>
      </w:r>
    </w:p>
    <w:p w14:paraId="4C0F5D5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今天由我进行简要的自我介绍。我的名字是王奕然。“王”姓在中国是一个普遍的姓氏，其主要源流可追溯至古代的姬姓、子姓以及妫姓等。“王”字的字形结构，在传统解读中，三横常被喻为天、地、人，一竖则象征贯通三者，引申有至尊之意。因此，古代君主常自称“王”，后世逐渐演变为“皇帝”。“奕”字的本义为“大”，后引申出光明、美好等含义。“然”字的本义为燃烧，其四点底部首“灬”源于“火”字。在后世使用中，“然”字逐渐虚化，可作为代词（相当于“这样”），或附于形容词、副词后，表示状态（……的样子）。因此，“奕然”二字可理解为“光明的样子”。</w:t>
      </w:r>
    </w:p>
    <w:p w14:paraId="5237F4A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的个人爱好集中于文学与历史领域，尤其对欧洲的文化、历史及其语言文字的演变故事抱有浓厚兴趣。我也曾阅读《圣经》，对欧洲的宗教发展有一定了解。正是基于这些兴趣，我选择了“英语及法语词汇中的文化”这门课程，希望从语言文字这一出发点，对欧洲的历史与文化进行更深入的思考。</w:t>
      </w:r>
    </w:p>
    <w:p w14:paraId="1C50C42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的家乡是陕西省汉中市城固县，此地是汉代使者张骞的故里。它位于陕西南部，秦岭和巴山之间，是一处天然盆地，汉江流经其中，土壤肥沃，素有“西北小江南”之称。春季乘火车经过，可见沿途田野盛开着大片的油菜花，景致宜人。当地还有许多特色小吃与风俗，若有兴趣，欢迎大家了解。</w:t>
      </w:r>
    </w:p>
    <w:p w14:paraId="4F9C471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以上是我的个人汇报。谢谢。</w:t>
      </w:r>
    </w:p>
    <w:p w14:paraId="2EAB8B0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112849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（以下为教师对学生汇报的点评与延伸讲解）</w:t>
      </w:r>
    </w:p>
    <w:p w14:paraId="1813EB1E">
      <w:pPr>
        <w:pStyle w:val="11"/>
        <w:widowControl/>
        <w:rPr>
          <w:rStyle w:val="16"/>
          <w:rFonts w:ascii="Times New Roman" w:hAnsi="Times New Roman" w:eastAsia="宋体" w:cs="Times New Roman"/>
          <w:b w:val="0"/>
          <w:bCs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b w:val="0"/>
          <w:bCs/>
          <w:sz w:val="24"/>
          <w:szCs w:val="24"/>
        </w:rPr>
        <w:t>课堂互动与“稀缺性”原则阐述</w:t>
      </w:r>
    </w:p>
    <w:p w14:paraId="3A228CA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王奕然的表现颇具特点。在当前的教学环境中，当绝大多数教师都依赖PPT进行展示时，坚持使用传统板书反而可能成为一种“稀缺”特色。例如，复旦大学曾有一位备受学生欢迎的教授，</w:t>
      </w:r>
      <w:bookmarkStart w:id="0" w:name="_GoBack"/>
      <w:bookmarkEnd w:id="0"/>
      <w:r>
        <w:rPr>
          <w:rFonts w:ascii="Times New Roman" w:hAnsi="Times New Roman" w:eastAsia="宋体" w:cs="Times New Roman"/>
          <w:sz w:val="24"/>
          <w:szCs w:val="24"/>
        </w:rPr>
        <w:t>其授课特色正是系统而富有条理的板书，而非PPT。这印证了一个普遍原则：资源往往向稀缺性配置。</w:t>
      </w:r>
    </w:p>
    <w:p w14:paraId="1C60E75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换言之，当多数人遵循同一种“规定动作”时，采取差异化路径的个人或事物更容易脱颖而出。这并非价值判断，而是对一种社会现象的观察。</w:t>
      </w:r>
    </w:p>
    <w:p w14:paraId="4F109CF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类似逻辑可用于分析社会审美趣味的变迁。例如，当下国内某种流行的“白幼瘦”审美范式。何以形成？一种基于“稀缺性”的解释是：在多数人属于黄调肤色、身材并非普遍纤细的群体中，白皙的肤色、幼态的特征与纤细的身材因其相对稀缺而被赋予更高的审美价值。</w:t>
      </w:r>
    </w:p>
    <w:p w14:paraId="5A537C3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然而，“稀缺即美”是否普适逻辑？我们可以肤色审美变迁为例进行跨文化比较。在西方社会，第二次世界大战前，白皙肤色普遍被视为贵族美的标志，户外活动需刻意遮蔽阳光。因当时多数劳动者从事户外工作，肤色较深，白皙肤色便成为无需劳作、拥有闲暇的阶级象征，是一种稀缺符号。二战结束后，社会经济结构变迁，办公室工作普及，多数人肤色变浅。此时，拥有充足时间与金钱进行户外休闲、享受日光浴，从而获得健康小麦肤色，转而成为新中产阶级经济实力与生活方式的象征，审美标准也随之转向。</w:t>
      </w:r>
    </w:p>
    <w:p w14:paraId="7749B55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（引入PEST分析框架，并以法国国旗为例）</w:t>
      </w:r>
    </w:p>
    <w:p w14:paraId="66C876A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那么，我们如何系统性地分析此类复杂的社会文化现象？这需要借助PEST的分析框架，即从政治（权力）、经济、社会、技术四个维度进行宏观环境扫描。让我们以此框架分析：为何历史上白色常与王权关联？例如法国国旗的蓝、白、红三色，其中白色即象征王权。</w:t>
      </w:r>
    </w:p>
    <w:p w14:paraId="25016C8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其根源何在？从经济与社会维度审视，在工业化洗涤技术普及前，白色纺织品因其极易污损，维护成本极其高昂。能够日常穿着并使用大量白色织物（如礼服、亚麻），意味着拥有充足的替换衣物与专门负责清洁维护的仆役，这直接彰显了巨大的财富消耗能力与社会支配权力。因此，白色成为王权的色彩符号，其底层逻辑在于其高昂的维护成本所表征的排他性特权与经济实力。</w:t>
      </w:r>
    </w:p>
    <w:p w14:paraId="1ED034E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（结合学生家乡，引申讲解地域文化与历史）</w:t>
      </w:r>
    </w:p>
    <w:p w14:paraId="61A25D0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既然谈及地域，我以家乡武汉为例，略作展开。武汉地处中国中部，系重要交通枢纽。其经济发展模式与沿海外向型城市不同，但因地理位置居中，与周边各省联系便利。武汉生活成本相对较低，生活质量具备一定比较优势。本地文化中，一个突出特点是极为重视“过早”（早餐）。早餐种类异常丰富，如热干面、牛肉粉、豆皮、烧麦等，且多为高碳水化合物食物。如何用PEST框架解读？从社会与经济视角看，武汉历史上是重要的水陆码头，码头工人等体力劳动者需要一顿高热量、便捷的早餐以支撑全日高强度劳动，由此催生了丰富、快捷、扎实的“过早”文化。这种码头文化也潜移默化地塑造了武汉人性格直率、行事讲求效率的群体特质。</w:t>
      </w:r>
    </w:p>
    <w:p w14:paraId="3238FA7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地域发展深受历史路径与地理条件的约束。例如，江西省在近代的相对滞后，与京广铁路的选线决策密切相关。当时，以曾国藩、谭嗣同为代表的湖南籍官僚集团拥有更大影响力，导致铁路干线最终取道湖南而非江西，使江西错失了近代工业化的一项关键推力。类似地，扬州曾因大运河而极度繁荣，但在铁路时代来临之际，因地方势力担忧铁路冲击传统运河经济而强烈反对，致使铁路改道安徽、南京(后延伸更名为京沪铁路），扬州也因此丧失了近代转型的一个重要契机。</w:t>
      </w:r>
    </w:p>
    <w:p w14:paraId="41BF05E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再观江浙沪地区，女性家庭与社会地位相对较高，亦有其社会经济根源。该地区自明末清初以来，手工业与纺织业高度发达，女性广泛参与丝绸、棉纺等商品化生产，从而获得了独立的经济来源。经济地位的提升，为其争取更高的社会与家庭地位奠定了物质基础。</w:t>
      </w:r>
    </w:p>
    <w:p w14:paraId="1C9458E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D44A2B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674C55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（课程内容转入中西方战争观的比较）</w:t>
      </w:r>
    </w:p>
    <w:p w14:paraId="7232011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今日课程的正题，主要探讨与战争相关的神话叙事，作为本课程第三章的收束。</w:t>
      </w:r>
    </w:p>
    <w:p w14:paraId="15283B2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首先，在华夏文明的传统语境中，战争被赋予极高的战略与文化地位。“国之大事，在祀与戎。”这表明，在古典国家观念中，祭祀（关乎文化认同与合法性）与军事（关乎生存安全与秩序）是国家的两大根本支柱。汉字中，与军事斗争相关的字词占比颇高。常言的“止戈为武”，是一种高度道德化的事后阐释；其甲骨文字形更近似“持戈行进”，强调武装行动本身。</w:t>
      </w:r>
    </w:p>
    <w:p w14:paraId="1C981F4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中国传统战略思想的巅峰智慧，推崇“不战而屈人之兵”，极度注重谋略筹划、心理博弈与威慑运用，而非单纯的物理征服。这与西方古典文明对战争的认知形成鲜明对比。</w:t>
      </w:r>
    </w:p>
    <w:p w14:paraId="5CCC13B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西方，尤其是古希腊传统中，战争常与英雄主义、个人荣誉及悲剧美学深度绑定。例如，《荷马史诗》开篇即“歌唱阿喀琉斯的愤怒”，其核心情节——阿喀琉斯因女俘被统帅阿伽门农夺走，深感荣誉受损而愤然退出战斗，导致联军溃败；后又因挚友帕特罗克洛斯被赫克托耳所杀，为复仇重返战场，并凌辱赫克托耳遗体——整个叙事将个人的“愤怒”与荣誉置于史诗的中心，并赋予其崇高的悲剧色彩。历史学家修昔底德在《伯罗奔尼撒战争史》中，更提出一种冷酷的现实主义逻辑：在力量悬殊的双方之间，“强者行其所能为，弱者忍其所必受”。这种强调力量法则与荣誉冲突的战争观，与中国“不战而屈人之兵”的谋略哲学大异其趣。</w:t>
      </w:r>
    </w:p>
    <w:p w14:paraId="19F1595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（通过历史案例比较中西战略思维）</w:t>
      </w:r>
    </w:p>
    <w:p w14:paraId="12C9231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罗马军团强大的战斗力，部分源于其高度工程化、标准化的作战体系，擅长筑路、架桥、修建野战工事。这与晚清曾国藩率领湘军平定太平天国时采取的“结硬寨，打呆仗”策略，在逻辑上有相通之处。曾国藩不寻求与太平军进行大规模野战对决，而是通过深挖壕沟、修筑高垒，将高度机动的流动作战转化为静态的工程消耗战与后勤绞杀战。这两种策略的核心，均在于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将复杂、不确定的战场对抗，“降维”为可重复、可积累优势的土木工程与后勤组织比拼</w:t>
      </w:r>
      <w:r>
        <w:rPr>
          <w:rFonts w:ascii="Times New Roman" w:hAnsi="Times New Roman" w:eastAsia="宋体" w:cs="Times New Roman"/>
          <w:sz w:val="24"/>
          <w:szCs w:val="24"/>
        </w:rPr>
        <w:t>。这揭示了一种共通的制胜逻辑：将复杂问题转化为可重复处理的简单问题，并通过极致的执行积累确定性优势。</w:t>
      </w:r>
    </w:p>
    <w:p w14:paraId="71BDB26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然而，战争的胜负乃多重变量耦合之结果。以美国在近现代参与的几场重大战争为例，为何其在伊拉克战争、太平洋战争（对日作战）中相对“成功”，而在朝鲜战争、越南战争、阿富汗战争中则陷入僵局或最终失利？简单归因于实力对比是片面的。深层原因在于战争性质对美国国内政治共识的影响。当美国本土或核心利益遭受直接、显性的攻击（如珍珠港事件、9/11事件）时，国内易于形成“举国体制”，动员巨大资源进行一场目标明确的对称性战争。反之，当战争发生在遥远地域，目标模糊且难以速胜时，国内的党派政治斗争、反战舆论便会高涨，最终导致战争难以为继。这凸显了政治维度在战争分析中的关键性。</w:t>
      </w:r>
    </w:p>
    <w:p w14:paraId="2B8F564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（深度剖析宋朝的治国战略）</w:t>
      </w:r>
    </w:p>
    <w:p w14:paraId="67B9D35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对“慎战”、“避战”以谋求长治久安的思维，我们可以深入剖析中国历史上一个极具特色的王朝：宋朝。它常予人“积弱”之印象，但若从“政权安全最大化”的视角审视，其制度设计堪称精密。宋太祖赵匡胤出身于五代乱世，彼时短短五十三年间更迭了五个朝代。其登基后，最核心的政治目标即防止宋朝成为“第六代”。为此，他针对政权颠覆的三种主要威胁（上层军事政变、底层民众起义、外部强敌入侵），推行了一套系统性的“强干弱枝”国策：</w:t>
      </w:r>
    </w:p>
    <w:p w14:paraId="3887D7E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72C680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“杯酒释兵权”（解构顶级军事贵族）</w:t>
      </w:r>
      <w:r>
        <w:rPr>
          <w:rFonts w:ascii="Times New Roman" w:hAnsi="Times New Roman" w:eastAsia="宋体" w:cs="Times New Roman"/>
          <w:sz w:val="24"/>
          <w:szCs w:val="24"/>
        </w:rPr>
        <w:t>：通过政治赎买（给予巨额财富、政治联姻、子孙恩荫），和平解除了开国将领的统兵权，从源头上消除了高级将领军事政变的可能性。</w:t>
      </w:r>
    </w:p>
    <w:p w14:paraId="36F140F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募兵制及“荒年募兵”政策（吸纳潜在反抗力量）</w:t>
      </w:r>
      <w:r>
        <w:rPr>
          <w:rFonts w:ascii="Times New Roman" w:hAnsi="Times New Roman" w:eastAsia="宋体" w:cs="Times New Roman"/>
          <w:sz w:val="24"/>
          <w:szCs w:val="24"/>
        </w:rPr>
        <w:t>：将社会主要的不稳定因素——流民、灾民，直接招募为由国家财政供养的职业兵，化潜在的破坏性力量为政权的维护性力量。</w:t>
      </w:r>
    </w:p>
    <w:p w14:paraId="23F985B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“更戍法”（防止军中形成私人势力）</w:t>
      </w:r>
      <w:r>
        <w:rPr>
          <w:rFonts w:ascii="Times New Roman" w:hAnsi="Times New Roman" w:eastAsia="宋体" w:cs="Times New Roman"/>
          <w:sz w:val="24"/>
          <w:szCs w:val="24"/>
        </w:rPr>
        <w:t>：频繁调动军队将领，造成“兵不识将，将不识兵”，防止将领与士兵建立牢固的统属关系与地方势力。</w:t>
      </w:r>
    </w:p>
    <w:p w14:paraId="1CF0B08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对外“岁币”政策（应对外部安全威胁）</w:t>
      </w:r>
      <w:r>
        <w:rPr>
          <w:rFonts w:ascii="Times New Roman" w:hAnsi="Times New Roman" w:eastAsia="宋体" w:cs="Times New Roman"/>
          <w:sz w:val="24"/>
          <w:szCs w:val="24"/>
        </w:rPr>
        <w:t>：当军事上无法彻底击败辽、金等北方政权时，进行成本核算。宋朝发现，支付岁币的财政代价，远低于发动一场大规模战争。同时，通过边境榷场贸易，宋朝往往能凭借经济优势获得顺差。此外，北宋先天丧失了燕云十六州，缺乏养马地与北方屏障，客观上也制约了其骑兵力量的发展。</w:t>
      </w:r>
    </w:p>
    <w:p w14:paraId="5AA031E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一系列制度的核心目标在于确保中央（“干”）的绝对安全，哪怕付出削弱地方与边防（“枝”）力量的代价。其文化配套则是大力推崇理学，强调“存天理，灭人欲”的伦理秩序，从思想上加强对社会的规训。因此，宋朝的“弱”，在相当程度上是其开国制度设计的逻辑结果，是一种追求政权稳定最大化的战略选择。</w:t>
      </w:r>
    </w:p>
    <w:p w14:paraId="1C1C054F">
      <w:pPr>
        <w:keepNext w:val="0"/>
        <w:keepLines w:val="0"/>
        <w:widowControl/>
        <w:suppressLineNumbers w:val="0"/>
        <w:jc w:val="left"/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A101E5C">
      <w:pPr>
        <w:pStyle w:val="11"/>
        <w:widowControl/>
        <w:rPr>
          <w:rStyle w:val="16"/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（引申讨论：南宋与南明的对比）</w:t>
      </w:r>
    </w:p>
    <w:p w14:paraId="6E4E2AF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个值得探讨的比较历史问题是：北宋灭亡后，南宋能偏安东南一百五十二年；而明朝灭亡后，南明政权仅维持十八年便告覆亡。核心差异在于政治合法性的集中度。北宋“靖康之变”时，皇室成员几乎被金人一网打尽，唯有康王赵构南渡，成为唯一无可争议的皇位继承人，内部凝聚力强。而明崇祯帝自缢后，朱明宗室有多位成员在南方被不同的军事、政治集团拥立，陷入严重的正统之争与内耗，无法形成合力，从而被清军各个击破。</w:t>
      </w:r>
    </w:p>
    <w:p w14:paraId="26491EE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（回到战争的根本意义）</w:t>
      </w:r>
    </w:p>
    <w:p w14:paraId="4B93BDB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由此引申出一个根本性问题：对普通民众而言，为何要支持或参与一场战争？若仅仅是改朝换代（“亡国”），谁为君主似乎区别不大。明末清初思想家顾炎武区分了“亡国”与“亡天下”（灭种）。“亡国”是政权更替，而“亡天下”是文明与文化传承的中断。当面临的外部威胁可能导致文化灭绝（如历史上“五胡乱华”时期的动荡）时，战争所保卫的就不再是一家一姓之王朝，而是整个文明的生活方式与价值体系。此时，战争的正义性与全民性方能被充分激发。这解释了为何某些战争能唤起广泛的同仇敌忾，而另一些则不能。</w:t>
      </w:r>
    </w:p>
    <w:p w14:paraId="0346FC1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438C70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（课程内容转向希腊神话中的战争之神与家庭关系）</w:t>
      </w:r>
    </w:p>
    <w:p w14:paraId="604C1C8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希腊神话体系中，战争由两位神祇司掌：雅典娜与阿瑞斯。雅典娜代表智慧、战略与捍卫城邦的正义之战；阿瑞斯则象征血腥、暴戾与毁灭性的冲突。神话中，宙斯曾公开表达对阿瑞斯的厌恶，指责其只喜争吵与战争。这可以从家庭动力学视角解读：在一个多子女的神族家庭（奥林匹斯神系）中，一个被父亲公开贬低、缺乏关爱的子嗣（阿瑞斯），其问题行为（如挑起争端）可能是一种寻求关注的表现。这映射到人类的多子女家庭，父母如何平衡对每个孩子的关爱与关注，避免因明显的偏爱或忽视导致子女的心理行为问题，是一个重要的家庭课题。</w:t>
      </w:r>
    </w:p>
    <w:p w14:paraId="76DF21D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以个人养育两个孩子的经验而言，我认为父母之爱可以是增量而非简单分割的。但在实践层面，需要运用有意识的策略，例如在处理冲突或分配资源时，注重维护公平感知，尤其要关注年长孩子可能因弟妹出生而产生的心理落差。通过肯定与赞扬子女间的友爱互动，可以有效促进和睦的手足关系。</w:t>
      </w:r>
    </w:p>
    <w:p w14:paraId="65B916D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（关于个人榜样与历史认知）</w:t>
      </w:r>
    </w:p>
    <w:p w14:paraId="60CD4EA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读史可以明志。我们所崇拜的历史人物类型，潜移默化地影响着我们的人生志向与自我定位。为自身寻觅积极、契合的榜样，有助于进行“以终为始”的人生规划。</w:t>
      </w:r>
    </w:p>
    <w:p w14:paraId="4F9FC95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（通过青春女神赫柏与伽倪墨得斯的神话，讨论权力与伦理）</w:t>
      </w:r>
    </w:p>
    <w:p w14:paraId="5F0FFE4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们简要提及青春女神赫柏（其罗马名“尤文图斯”亦为一支著名足球队的名字）。她原是神界的斟酒者。神话叙述中，宙斯迷恋凡间美少年伽倪墨得斯，派鹰将其劫掠至奥林匹斯山，并让他取代赫柏担任斟酒童。这引发了赫拉（宙斯之妻）的双重愤怒：既增加了情敌，又使女儿失去了职务。这个神话涉及权力、强迫与同性情欲。</w:t>
      </w:r>
    </w:p>
    <w:p w14:paraId="340296F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这引申出一个严肃的现实伦理议题。例如，此前北京理工大学某导师与其研究生之间事件。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核心问题不在于性别，而在于不平等的权力关系</w:t>
      </w:r>
      <w:r>
        <w:rPr>
          <w:rFonts w:ascii="Times New Roman" w:hAnsi="Times New Roman" w:eastAsia="宋体" w:cs="Times New Roman"/>
          <w:sz w:val="24"/>
          <w:szCs w:val="24"/>
        </w:rPr>
        <w:t>。在师生关系中，导师掌握着决定学生学业评价、毕业资格、学术资源分配的关键权力。在这种权力结构下，恋爱或亲密关系都极易异化为权力压迫（如以学业成绩相威胁）或利益交换（如以高分、论文署名换取情感或性利益），从根本上侵蚀教育的公平性与学术的纯洁性。因此，严格的学术伦理规范要求，必须禁止在存在直接指导关系期间发展恋爱关系。若关系双方在终止师生关系后，基于平等自愿的原则发展感情，则不在此列。</w:t>
      </w:r>
    </w:p>
    <w:p w14:paraId="2F29D887">
      <w:pPr>
        <w:pStyle w:val="11"/>
        <w:widowControl/>
        <w:rPr>
          <w:rFonts w:hint="eastAsia" w:ascii="Times New Roman" w:hAnsi="Times New Roman" w:eastAsia="宋体" w:cs="Times New Roman"/>
          <w:sz w:val="24"/>
          <w:szCs w:val="24"/>
        </w:rPr>
      </w:pPr>
    </w:p>
    <w:p w14:paraId="6511E94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（阿波罗与阿尔忒弥斯：日神与月神）</w:t>
      </w:r>
    </w:p>
    <w:p w14:paraId="1263A7E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后简要回顾日神阿波罗（Apollo）与月神阿尔忒弥斯（Artemis）的神话。他们是孪生姐弟，为宙斯与勒托（Leto）所生。天后赫拉因嫉妒迫害勒托，使其无处分娩。最终，勒托在提洛岛（其姐为避宙斯而化成的浮岛）上，先生下阿尔忒弥斯，随后在阿尔忒弥斯的协助下生下阿波罗。阿尔忒弥斯因此目睹母亲生产的痛苦，发誓永保童贞，成为狩猎、自然与处女保护神。由于她执掌狩猎（食物来源）与分娩（生命延续），在古希腊备受尊崇，其神庙（阿尔忒弥斯神庙）位列古代世界七大奇迹之一。</w:t>
      </w:r>
    </w:p>
    <w:p w14:paraId="1AD061E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关于“世界七大奇迹”的反思</w:t>
      </w:r>
      <w:r>
        <w:rPr>
          <w:rFonts w:ascii="Times New Roman" w:hAnsi="Times New Roman" w:eastAsia="宋体" w:cs="Times New Roman"/>
          <w:sz w:val="24"/>
          <w:szCs w:val="24"/>
        </w:rPr>
        <w:t>：值得注意的是，传统所称的“古代世界七大奇迹”（如埃及吉萨金字塔、巴比伦空中花园、阿尔忒弥斯神庙等），全部位于地中海沿岸地区。这一定义本身是古希腊-罗马时代地中海文明视野的产物，带有历史的局限性。它提醒我们，任何对世界的叙述与界定，都难以避免地受到叙述者自身文化视野与认知边界的影响。正所谓“世界观”源于“观世界”的范围与方式。构建更全面、多元的人类文明认知体系，需要不断超越单一的文化中心视角。</w:t>
      </w:r>
    </w:p>
    <w:p w14:paraId="3982412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（课程总结与学习建议）</w:t>
      </w:r>
    </w:p>
    <w:p w14:paraId="5505CDC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今天的课程内容涉及自我介绍、社会现象分析（PEST模型）、历史制度纵深探讨（宋朝）、中西文化对比（战争观）、神话解析及文化视角反思。</w:t>
      </w:r>
    </w:p>
    <w:p w14:paraId="0F4A9B3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建议大家在学习过程中，不仅要掌握具体知识，更注重培养一种结构化的分析思维。对于外语词汇学习，可以尝试从系统掌握常见前缀、后缀及词根入手，这有助于高效地扩充词汇量，理解词汇构成的逻辑。</w:t>
      </w:r>
    </w:p>
    <w:p w14:paraId="6BBE4CC3">
      <w:pPr>
        <w:pStyle w:val="11"/>
        <w:widowControl/>
        <w:rPr>
          <w:rFonts w:hint="eastAsia" w:ascii="Times New Roman" w:hAnsi="Times New Roman" w:eastAsia="宋体" w:cs="Times New Roman"/>
          <w:sz w:val="24"/>
          <w:szCs w:val="24"/>
        </w:rPr>
      </w:pPr>
    </w:p>
    <w:p w14:paraId="2033C1CB"/>
    <w:p w14:paraId="6C738A1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766FFC"/>
    <w:rsid w:val="002B040E"/>
    <w:rsid w:val="01467871"/>
    <w:rsid w:val="014A1528"/>
    <w:rsid w:val="01AB53BD"/>
    <w:rsid w:val="01BF40A4"/>
    <w:rsid w:val="01D306FF"/>
    <w:rsid w:val="027F5442"/>
    <w:rsid w:val="0299032F"/>
    <w:rsid w:val="02B43B55"/>
    <w:rsid w:val="032D44E7"/>
    <w:rsid w:val="0334630D"/>
    <w:rsid w:val="03A41C89"/>
    <w:rsid w:val="04405002"/>
    <w:rsid w:val="04573407"/>
    <w:rsid w:val="04784A5A"/>
    <w:rsid w:val="05727683"/>
    <w:rsid w:val="064C6AF5"/>
    <w:rsid w:val="067A24CB"/>
    <w:rsid w:val="06BC5921"/>
    <w:rsid w:val="079140A9"/>
    <w:rsid w:val="087972B9"/>
    <w:rsid w:val="091C542B"/>
    <w:rsid w:val="09596590"/>
    <w:rsid w:val="09883FB8"/>
    <w:rsid w:val="09C03DD4"/>
    <w:rsid w:val="09C75D32"/>
    <w:rsid w:val="0A7452F6"/>
    <w:rsid w:val="0B170DB6"/>
    <w:rsid w:val="0BB2611A"/>
    <w:rsid w:val="0D593375"/>
    <w:rsid w:val="0D6A04CC"/>
    <w:rsid w:val="0DE94E82"/>
    <w:rsid w:val="0E99245F"/>
    <w:rsid w:val="0EB0553A"/>
    <w:rsid w:val="0EC059FA"/>
    <w:rsid w:val="0F4B6177"/>
    <w:rsid w:val="11046593"/>
    <w:rsid w:val="115C3E08"/>
    <w:rsid w:val="127C445A"/>
    <w:rsid w:val="127D6CFA"/>
    <w:rsid w:val="13CE0032"/>
    <w:rsid w:val="13DE7A77"/>
    <w:rsid w:val="13F56650"/>
    <w:rsid w:val="14736E8B"/>
    <w:rsid w:val="1491124D"/>
    <w:rsid w:val="14A97773"/>
    <w:rsid w:val="14E20842"/>
    <w:rsid w:val="15952B1E"/>
    <w:rsid w:val="166F7486"/>
    <w:rsid w:val="16737AF9"/>
    <w:rsid w:val="17A9447C"/>
    <w:rsid w:val="191E1810"/>
    <w:rsid w:val="19351363"/>
    <w:rsid w:val="193E080B"/>
    <w:rsid w:val="19515D34"/>
    <w:rsid w:val="19B05AE8"/>
    <w:rsid w:val="1A26176A"/>
    <w:rsid w:val="1AAD309F"/>
    <w:rsid w:val="1C5D3CD0"/>
    <w:rsid w:val="1CE76F6C"/>
    <w:rsid w:val="1D277F38"/>
    <w:rsid w:val="1D5752DA"/>
    <w:rsid w:val="1FB16091"/>
    <w:rsid w:val="1FB81312"/>
    <w:rsid w:val="1FDF3988"/>
    <w:rsid w:val="1FFB6081"/>
    <w:rsid w:val="21892AE9"/>
    <w:rsid w:val="221E111A"/>
    <w:rsid w:val="225F54E2"/>
    <w:rsid w:val="228C24F1"/>
    <w:rsid w:val="237335B5"/>
    <w:rsid w:val="238118AC"/>
    <w:rsid w:val="243301D1"/>
    <w:rsid w:val="25126C4F"/>
    <w:rsid w:val="26BA31D2"/>
    <w:rsid w:val="28292D65"/>
    <w:rsid w:val="297F6D01"/>
    <w:rsid w:val="299E101A"/>
    <w:rsid w:val="2AED4344"/>
    <w:rsid w:val="2AEE4E0C"/>
    <w:rsid w:val="2C4E7D0F"/>
    <w:rsid w:val="2CEF1814"/>
    <w:rsid w:val="2D2D3B22"/>
    <w:rsid w:val="2E3771BC"/>
    <w:rsid w:val="2F367A02"/>
    <w:rsid w:val="304A149B"/>
    <w:rsid w:val="305368D0"/>
    <w:rsid w:val="31F70AF4"/>
    <w:rsid w:val="32391FD6"/>
    <w:rsid w:val="33112C78"/>
    <w:rsid w:val="33AE225D"/>
    <w:rsid w:val="33C80646"/>
    <w:rsid w:val="34041163"/>
    <w:rsid w:val="3437046D"/>
    <w:rsid w:val="34912209"/>
    <w:rsid w:val="35554BAB"/>
    <w:rsid w:val="358E6D09"/>
    <w:rsid w:val="3593069E"/>
    <w:rsid w:val="36CB2473"/>
    <w:rsid w:val="37EA6B8C"/>
    <w:rsid w:val="38597EDA"/>
    <w:rsid w:val="38EB0263"/>
    <w:rsid w:val="3AC807FF"/>
    <w:rsid w:val="3AE24771"/>
    <w:rsid w:val="3B4478EC"/>
    <w:rsid w:val="3B864EEF"/>
    <w:rsid w:val="3C63742D"/>
    <w:rsid w:val="3C976B17"/>
    <w:rsid w:val="3CB32474"/>
    <w:rsid w:val="3D092B06"/>
    <w:rsid w:val="3D385258"/>
    <w:rsid w:val="3DB3688C"/>
    <w:rsid w:val="3E5150BB"/>
    <w:rsid w:val="3F842153"/>
    <w:rsid w:val="404922DC"/>
    <w:rsid w:val="4063370D"/>
    <w:rsid w:val="40D14330"/>
    <w:rsid w:val="412F6F75"/>
    <w:rsid w:val="414E1FCD"/>
    <w:rsid w:val="418D2DB6"/>
    <w:rsid w:val="4191105A"/>
    <w:rsid w:val="41984B67"/>
    <w:rsid w:val="41B46B35"/>
    <w:rsid w:val="41D949B1"/>
    <w:rsid w:val="42883431"/>
    <w:rsid w:val="42DF211C"/>
    <w:rsid w:val="43C330A4"/>
    <w:rsid w:val="43F4729A"/>
    <w:rsid w:val="43F637B8"/>
    <w:rsid w:val="4428319F"/>
    <w:rsid w:val="442A240C"/>
    <w:rsid w:val="444204EB"/>
    <w:rsid w:val="44665932"/>
    <w:rsid w:val="447605CC"/>
    <w:rsid w:val="44C87908"/>
    <w:rsid w:val="45735CD8"/>
    <w:rsid w:val="45BF7A33"/>
    <w:rsid w:val="45C24070"/>
    <w:rsid w:val="46485B91"/>
    <w:rsid w:val="46C11CDC"/>
    <w:rsid w:val="46F17216"/>
    <w:rsid w:val="47B35F50"/>
    <w:rsid w:val="47C63EA3"/>
    <w:rsid w:val="47F670BB"/>
    <w:rsid w:val="4877104C"/>
    <w:rsid w:val="49195077"/>
    <w:rsid w:val="4A177FD9"/>
    <w:rsid w:val="4A270850"/>
    <w:rsid w:val="4A5F31D6"/>
    <w:rsid w:val="4A766FFC"/>
    <w:rsid w:val="4AE24A4C"/>
    <w:rsid w:val="4B7B4D72"/>
    <w:rsid w:val="4B9F1998"/>
    <w:rsid w:val="4BFA106D"/>
    <w:rsid w:val="4C41120C"/>
    <w:rsid w:val="4C5638DD"/>
    <w:rsid w:val="4C5A5B5E"/>
    <w:rsid w:val="4CE57760"/>
    <w:rsid w:val="4DF242A9"/>
    <w:rsid w:val="4E591117"/>
    <w:rsid w:val="4EB2348E"/>
    <w:rsid w:val="4EBC3616"/>
    <w:rsid w:val="4F0E1B95"/>
    <w:rsid w:val="4F2E6B6B"/>
    <w:rsid w:val="5122582E"/>
    <w:rsid w:val="513106A6"/>
    <w:rsid w:val="515264A1"/>
    <w:rsid w:val="51DE53FC"/>
    <w:rsid w:val="521E1B1D"/>
    <w:rsid w:val="52702AC2"/>
    <w:rsid w:val="52833DFF"/>
    <w:rsid w:val="52ED6F99"/>
    <w:rsid w:val="53CE6506"/>
    <w:rsid w:val="53D34275"/>
    <w:rsid w:val="54AC0835"/>
    <w:rsid w:val="54DD7EDE"/>
    <w:rsid w:val="56621195"/>
    <w:rsid w:val="56A555D2"/>
    <w:rsid w:val="56B0235D"/>
    <w:rsid w:val="56B60143"/>
    <w:rsid w:val="56B81102"/>
    <w:rsid w:val="56DA5C55"/>
    <w:rsid w:val="575203E6"/>
    <w:rsid w:val="57AA39EE"/>
    <w:rsid w:val="5915522A"/>
    <w:rsid w:val="59AC2A9A"/>
    <w:rsid w:val="5A296085"/>
    <w:rsid w:val="5BB53F0D"/>
    <w:rsid w:val="5BFA66E2"/>
    <w:rsid w:val="5C231BCF"/>
    <w:rsid w:val="5C58408E"/>
    <w:rsid w:val="5CA5307E"/>
    <w:rsid w:val="5CDF041E"/>
    <w:rsid w:val="5DBA0DE6"/>
    <w:rsid w:val="5DDB3502"/>
    <w:rsid w:val="5E1C535F"/>
    <w:rsid w:val="5E83307E"/>
    <w:rsid w:val="5EF23585"/>
    <w:rsid w:val="5F457893"/>
    <w:rsid w:val="5F762C34"/>
    <w:rsid w:val="5FFA259D"/>
    <w:rsid w:val="603D67D1"/>
    <w:rsid w:val="60BB3228"/>
    <w:rsid w:val="60F53FC2"/>
    <w:rsid w:val="616031AE"/>
    <w:rsid w:val="622141B0"/>
    <w:rsid w:val="62420204"/>
    <w:rsid w:val="63965759"/>
    <w:rsid w:val="63AA5CB0"/>
    <w:rsid w:val="63B93F21"/>
    <w:rsid w:val="6496768C"/>
    <w:rsid w:val="65927AD4"/>
    <w:rsid w:val="65EA6FA3"/>
    <w:rsid w:val="65F25F4E"/>
    <w:rsid w:val="667A468E"/>
    <w:rsid w:val="66CB633D"/>
    <w:rsid w:val="66EE58F5"/>
    <w:rsid w:val="67082085"/>
    <w:rsid w:val="67227D88"/>
    <w:rsid w:val="6923251F"/>
    <w:rsid w:val="69727D32"/>
    <w:rsid w:val="69811F3C"/>
    <w:rsid w:val="6A5B3A8D"/>
    <w:rsid w:val="6AF1460B"/>
    <w:rsid w:val="6BCF066A"/>
    <w:rsid w:val="6D0A5A45"/>
    <w:rsid w:val="6E466162"/>
    <w:rsid w:val="6F6B7526"/>
    <w:rsid w:val="6F8A37EA"/>
    <w:rsid w:val="6F9A3BAD"/>
    <w:rsid w:val="6FCD2862"/>
    <w:rsid w:val="70DA0CC3"/>
    <w:rsid w:val="70E77DC5"/>
    <w:rsid w:val="710920F4"/>
    <w:rsid w:val="71B53844"/>
    <w:rsid w:val="71F00A60"/>
    <w:rsid w:val="72B80EF1"/>
    <w:rsid w:val="72BC2902"/>
    <w:rsid w:val="73880099"/>
    <w:rsid w:val="73D75D5A"/>
    <w:rsid w:val="74764D0F"/>
    <w:rsid w:val="758D4A10"/>
    <w:rsid w:val="75D36A62"/>
    <w:rsid w:val="75E0437C"/>
    <w:rsid w:val="77AA6873"/>
    <w:rsid w:val="77DE237B"/>
    <w:rsid w:val="79C6221A"/>
    <w:rsid w:val="79DC01FD"/>
    <w:rsid w:val="79E13E9F"/>
    <w:rsid w:val="7A41652D"/>
    <w:rsid w:val="7ACB396D"/>
    <w:rsid w:val="7B27140C"/>
    <w:rsid w:val="7BDF7A9D"/>
    <w:rsid w:val="7C5F70AA"/>
    <w:rsid w:val="7D3C6D19"/>
    <w:rsid w:val="7D5B5367"/>
    <w:rsid w:val="7E2D11DE"/>
    <w:rsid w:val="7EBF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6">
    <w:name w:val="Strong"/>
    <w:basedOn w:val="1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2026-05-09T03:14:00Z</dcterms:created>
  <dc:creator>hwongisa</dc:creator>
  <cp:lastModifiedBy>hwongisa</cp:lastModifiedBy>
  <dcterms:modified xsi:type="dcterms:W3CDTF">2026-05-09T03:47:10Z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BB86091BED5E48129EF606444F1EB9AB_11</vt:lpwstr>
  </property>
  <property fmtid="{D5CDD505-2E9C-101B-9397-08002B2CF9AE}" pid="4" name="KSOTemplateDocerSaveRecord">
    <vt:lpwstr>eyJoZGlkIjoiOTY5MmJmZDY4ZjdmYzQ5YzdjOTZhZGU2ZTRmNTA5NzUiLCJ1c2VySWQiOiIyOTE0NTUwMjcifQ==</vt:lpwstr>
  </property>
</Properties>
</file>