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4A417">
      <w:pPr>
        <w:pStyle w:val="13"/>
        <w:widowControl/>
      </w:pPr>
      <w:bookmarkStart w:id="0" w:name="_GoBack"/>
      <w:bookmarkEnd w:id="0"/>
      <w:r>
        <w:t xml:space="preserve">课程讲稿 </w:t>
      </w:r>
    </w:p>
    <w:p w14:paraId="6EFC2886">
      <w:pPr>
        <w:pStyle w:val="2"/>
        <w:widowControl/>
      </w:pPr>
      <w:r>
        <w:t>引言：课堂互动与论述起点</w:t>
      </w:r>
    </w:p>
    <w:p w14:paraId="4295C469"/>
    <w:p w14:paraId="136EA9FF">
      <w:pPr>
        <w:pStyle w:val="1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胡芮晨</w:t>
      </w:r>
    </w:p>
    <w:p w14:paraId="3DAE97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本次课程始于对学生课堂展示的点评。展示者（胡芮晨同学）的自我介绍内容丰富，涵盖了地域背景、艺术特长（小提琴十级、书法九级）与个人兴趣（希腊神话、音乐剧等）。</w:t>
      </w:r>
    </w:p>
    <w:p w14:paraId="1D85AD0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点评：</w:t>
      </w:r>
    </w:p>
    <w:p w14:paraId="6E764EF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叙述流畅自然，但若能以具体例证支撑观点则更佳。时间控制（不足三分钟）引发的讨论，引申出一个普遍原则：在限定时间的表达中，应追求内容深度与时间的平衡，使每一时段都承载有效信息。</w:t>
      </w:r>
    </w:p>
    <w:p w14:paraId="2D2CA3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后，课程回溯了此前关于“美狄亚”与电影《万箭穿心》的讨论，并引入学生的质疑：对于受害者（如美狄亚、李宝莉），分析其行为“越界”或“不体面”，是否是一种苛求？是否应更多从权力结构视角进行批判？这构成了本次论述的起点。</w:t>
      </w:r>
    </w:p>
    <w:p w14:paraId="12DD0F0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对流行思维的批判与行动哲学的建构——从“解释世界”到“改变世界”</w:t>
      </w:r>
    </w:p>
    <w:p w14:paraId="7CD978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阐述了积极建构的方法后，教师转向对当前一种普遍思潮的批判：即“高认知穷人”现象。这类人群善于剖析社会问题、心理机制与“底层逻辑”，在认知层面表现出高度的复杂性，但往往陷入“不断解释，从不行动”的困境。他们将“看懂问题”在心理上等同于“解决问题”，用深度的分析替代了切实的实践，从而形成了逻辑自洽却无助于现实改变的内循环。</w:t>
      </w:r>
    </w:p>
    <w:p w14:paraId="2FD6E7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为对抗此倾向，教师提出了明确的“行动优先”哲学，并引入了经典的目标管理工具“SMART原则”作为将意图转化为行动的脚手架：</w:t>
      </w:r>
    </w:p>
    <w:p w14:paraId="0D6334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S（Specific）</w:t>
      </w:r>
      <w:r>
        <w:rPr>
          <w:rFonts w:ascii="Times New Roman" w:hAnsi="Times New Roman" w:eastAsia="宋体" w:cs="Times New Roman"/>
          <w:sz w:val="24"/>
          <w:szCs w:val="24"/>
        </w:rPr>
        <w:t>：目标需具体明确，而非笼统模糊。</w:t>
      </w:r>
    </w:p>
    <w:p w14:paraId="0D5CF84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M（Measurable）</w:t>
      </w:r>
      <w:r>
        <w:rPr>
          <w:rFonts w:ascii="Times New Roman" w:hAnsi="Times New Roman" w:eastAsia="宋体" w:cs="Times New Roman"/>
          <w:sz w:val="24"/>
          <w:szCs w:val="24"/>
        </w:rPr>
        <w:t>：目标需有可量化或可清晰判定的衡量标准。</w:t>
      </w:r>
    </w:p>
    <w:p w14:paraId="5946DA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A（Achievable）</w:t>
      </w:r>
      <w:r>
        <w:rPr>
          <w:rFonts w:ascii="Times New Roman" w:hAnsi="Times New Roman" w:eastAsia="宋体" w:cs="Times New Roman"/>
          <w:sz w:val="24"/>
          <w:szCs w:val="24"/>
        </w:rPr>
        <w:t>：目标应是理论上可实现的，具备挑战性但非空中楼阁。</w:t>
      </w:r>
    </w:p>
    <w:p w14:paraId="5896E5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R（Relevant）</w:t>
      </w:r>
      <w:r>
        <w:rPr>
          <w:rFonts w:ascii="Times New Roman" w:hAnsi="Times New Roman" w:eastAsia="宋体" w:cs="Times New Roman"/>
          <w:sz w:val="24"/>
          <w:szCs w:val="24"/>
        </w:rPr>
        <w:t>：目标应与个人或组织的其他主要目标相关联，具有整体意义。</w:t>
      </w:r>
    </w:p>
    <w:p w14:paraId="486CF9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T（Time-bound）</w:t>
      </w:r>
      <w:r>
        <w:rPr>
          <w:rFonts w:ascii="Times New Roman" w:hAnsi="Times New Roman" w:eastAsia="宋体" w:cs="Times New Roman"/>
          <w:sz w:val="24"/>
          <w:szCs w:val="24"/>
        </w:rPr>
        <w:t>：目标必须有明确的完成时限。</w:t>
      </w:r>
    </w:p>
    <w:p w14:paraId="20D584B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师以“如何在三个月内有效提升英语口语”为例，现场演示了如何应用SMART原则制定具体计划（例如：规定每日进行15分钟的精准听力输入，并随后进行45分钟的自我复述与录音对比练习）。她强调，重心应放在“如何执行”的路径设计上，而非沉溺于“为何困难”的原因剖析。教师进一步指出，当代许多信息产品（如部分短视频、深度文章）为了延长用户停留时间，倾向于提供复杂迷人的“解释体系”，而非直接、朴素却有效的“行动方案”，这在客观上加剧了认知与行动之间的鸿沟。</w:t>
      </w:r>
    </w:p>
    <w:p w14:paraId="0C89A76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内在精神与外部系统的辩证关系</w:t>
      </w:r>
    </w:p>
    <w:p w14:paraId="3FEEA8B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经济独立是女性（乃至所有人）根本”是一种普遍主张。但通过“杜十娘怒沉百宝箱”的故事可进行反思：杜十娘已积累巨额财富（实现了极致的“经济独立”），却仍将人生价值完全寄托于对李甲的情感托付，并在遭遇背叛后选择毁灭。这说明，纯粹的外部物质保障，若缺乏稳固、独立的内在精神内核，仍无法真正抵御风险、获得幸福。东西方在应对困境时存在思维差异：东方文化更侧重个体责任与内在调适（如何适应社会），而西方分析更常追问社会制度的缺陷（社会如何逼迫个体）。两者各有利弊，需互补看待。例如，对“自杀”现象的解读，东方或更强调对家庭的责任，西方则更侧重分析社会的压迫，这两种视角共同构成了理解的完整性。</w:t>
      </w:r>
    </w:p>
    <w:p w14:paraId="62723C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204027C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应用与辨析——文学叙事、权力结构与人性的连贯性</w:t>
      </w:r>
    </w:p>
    <w:p w14:paraId="44E913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随后，教师运用前述“分析-解决”与“解释-行动”的框架，重新审视了文学与影视案例，以展示其现实指导意义：</w:t>
      </w:r>
    </w:p>
    <w:p w14:paraId="20DADDB0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对《万箭穿心》悲剧的再解读</w:t>
      </w:r>
      <w:r>
        <w:rPr>
          <w:rFonts w:ascii="Times New Roman" w:hAnsi="Times New Roman" w:eastAsia="宋体" w:cs="Times New Roman"/>
          <w:sz w:val="24"/>
          <w:szCs w:val="24"/>
        </w:rPr>
        <w:t>：教师认为，不应仅从女性主义权力结构视角进行单向度批判。悲剧更深层的根源在于夫妻双方所持“婚姻剧本”的错配。丈夫内心遵循传统的“男主外女主内”脚本，渴望由此获得家庭内部的尊严与权威；而妻子因实际承担了主要家庭责任，无法也无意扮演传统脚本中“顺从”的角色。这种脚本冲突导致了权力期待的落空与持续的家庭战争。其现实启示在于：在人际矛盾中，即便在道理上占据优势，也需注意斗争的策略与边界。“得理不饶人”可能将本可挽回的关系推向彻底破裂的深渊。</w:t>
      </w:r>
    </w:p>
    <w:p w14:paraId="79CE193C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对《美狄亚》形象的复杂审视</w:t>
      </w:r>
      <w:r>
        <w:rPr>
          <w:rFonts w:ascii="Times New Roman" w:hAnsi="Times New Roman" w:eastAsia="宋体" w:cs="Times New Roman"/>
          <w:sz w:val="24"/>
          <w:szCs w:val="24"/>
        </w:rPr>
        <w:t>：教师提醒，在同情美狄亚作为受害者所承受的背叛与不公时，也应看到其作为施害者一面的极端性。在神话叙事中，为帮助伊阿宋，她设计杀害了自己的兄弟。伊阿宋的背信属于道德与情感背叛范畴，而美狄亚的连番杀戮（包括杀害亲生子女）则触及了更基本的伦理与法律底线。两者在过错的性质与层级上存在差异，进行非黑即白的二元判断会损失对其复杂性的理解。</w:t>
      </w:r>
    </w:p>
    <w:p w14:paraId="003BDF2E">
      <w:pPr>
        <w:pStyle w:val="11"/>
        <w:widowControl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行为一致性与风险预判</w:t>
      </w:r>
      <w:r>
        <w:rPr>
          <w:rFonts w:ascii="Times New Roman" w:hAnsi="Times New Roman" w:eastAsia="宋体" w:cs="Times New Roman"/>
          <w:sz w:val="24"/>
          <w:szCs w:val="24"/>
        </w:rPr>
        <w:t>：教师引用了基于现实数据的研究（例如，2019年一项针对婚外情网站用户数据泄露事件的学术研究），指出个体在某一领域（如私德）的不端行为，与其在另一领域（如职业操守）的失范行为，在统计学上存在显著相关性。这揭示了人格与行为模式在不同情境下可能存在的跨领域连贯性。其现实启示是双重的：其一，在人际交往（尤其是深度关系建立）中，观察对方在细微之处的行为模式（如如何履行承诺、如何处理冲突），有助于对其在重大问题上可能的表现进行合理预判。其二，对自身要有清醒认知，避免陷入不切实际的“既要…又要…”的诉求，例如，既要求伴侣在事业上极具进取心与竞争力，又要求其在家庭内部时刻保持温和顺从。</w:t>
      </w:r>
    </w:p>
    <w:p w14:paraId="3F4E7A5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文化叙事的力量与差异——悲剧美学与解释框架</w:t>
      </w:r>
    </w:p>
    <w:p w14:paraId="746A7C87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悲剧的永恒魅力</w:t>
      </w:r>
      <w:r>
        <w:rPr>
          <w:rFonts w:ascii="Times New Roman" w:hAnsi="Times New Roman" w:eastAsia="宋体" w:cs="Times New Roman"/>
          <w:sz w:val="24"/>
          <w:szCs w:val="24"/>
        </w:rPr>
        <w:t>：教师探讨了悲剧艺术为何常比喜剧更具情感深度与持久生命力。悲剧的核心在于展现人类在面对不可抗拒的命运、性格缺陷或社会压力时，所进行的崇高挣扎与必然陨落。这种“向死而生”的抗争精神，比单纯的欢乐更能触及心灵深处，引发关于存在、自由与尊严的永恒思考。这也衍生出一个广受讨论的命题：“喜剧的内核往往是悲剧”，即最高级的喜剧常常是对悲剧性现实的幽默化解构与超越。</w:t>
      </w:r>
    </w:p>
    <w:p w14:paraId="54935256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文化解释框架的对比</w:t>
      </w:r>
      <w:r>
        <w:rPr>
          <w:rFonts w:ascii="Times New Roman" w:hAnsi="Times New Roman" w:eastAsia="宋体" w:cs="Times New Roman"/>
          <w:sz w:val="24"/>
          <w:szCs w:val="24"/>
        </w:rPr>
        <w:t>：教师以不同文化对“自杀”现象的社会归因差异为例，说明了思维框架的多样性。一种概括性的对比是：在某些文化语境下，分析可能更倾向于从个体对家庭、社会的责任伦理角度进行；而在另一些语境下，分析可能更侧重于批判导致个体困境的社会制度性、结构性原因，并可能由此推导出不同的公共政策与司法理念（例如，对于因绝对贫困所驱动的轻微财产犯罪，是否及如何在司法中考虑“生存必要性”作为减轻处罚的因素）。教师强调，这两种框架根植于不同的文化传统与哲学思想，并无简单的优劣之分，理解差异本身有助于我们更全面地认识复杂世界。</w:t>
      </w:r>
    </w:p>
    <w:p w14:paraId="2146720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经典个案研究——《俄狄浦斯王》的叙事、心理与命运</w:t>
      </w:r>
    </w:p>
    <w:p w14:paraId="6FA414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师详细叙述了索福克勒斯的悲剧《俄狄浦斯王》的完整情节链：神谕（弑父娶母）——父母为规避神谕遗弃婴儿——俄狄浦斯无意间弑父（于三岔路口杀死生父拉伊俄斯）——因破解斯芬克斯之谜被拥为忒拜王并娶母（伊俄卡斯忒）——为消除瘟疫追查凶手最终揭开真相——母亲自尽，俄狄浦斯刺瞎双眼自我放逐。并进一步讲述了后续故事：其子波吕涅克斯与厄忒俄克勒斯为争王位兄弟相残而死，其女安提戈涅违抗新王禁令埋葬兄长波吕涅克斯，随后被囚并自尽。</w:t>
      </w:r>
    </w:p>
    <w:p w14:paraId="579A598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此，教师自然引出西格蒙德·弗洛伊德的精神分析理论核心概念之一——“俄狄浦斯情结”，并简要区分了弗洛伊德（强调潜意识、本我/自我/超我）、卡尔·荣格（强调集体无意识、原型）与阿尔弗雷德·阿德勒（强调自卑与超越、社会兴趣）等不同心理学流派的基本取向。教师指出，观察一个人在压力、疲劳或突发情境下的本能反应与无意识行为（而非其公开宣称的价值观），往往更能真实反映其内在的优先级排序与深层心理结构。此外，在亲密关系中，人们常将“真爱”与对方是否愿意付出其“稀缺资源”（如忙碌者的时间、节俭者的金钱）挂钩，这实际上折射出关系评价中一种潜在的价值交换逻辑。</w:t>
      </w:r>
    </w:p>
    <w:p w14:paraId="29CF08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进一步分析揭示，俄狄浦斯故事并非孤例，它与罗马建城者罗慕路斯、波斯帝国居鲁士大帝的传说共享着一套深层的“叙事模板”：1. 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高贵出身与预言威胁</w:t>
      </w:r>
      <w:r>
        <w:rPr>
          <w:rFonts w:ascii="Times New Roman" w:hAnsi="Times New Roman" w:eastAsia="宋体" w:cs="Times New Roman"/>
          <w:sz w:val="24"/>
          <w:szCs w:val="24"/>
        </w:rPr>
        <w:t xml:space="preserve">：主角出身王室，但有预言其将颠覆现有秩序；2. 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被弃与仁慈违抗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：统治者下令处死婴孩，但执行者（仆人、牧羊人）因怜悯而违命，将其遗弃；3. 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底层成长与神性/王性显现</w:t>
      </w:r>
      <w:r>
        <w:rPr>
          <w:rFonts w:ascii="Times New Roman" w:hAnsi="Times New Roman" w:eastAsia="宋体" w:cs="Times New Roman"/>
          <w:sz w:val="24"/>
          <w:szCs w:val="24"/>
        </w:rPr>
        <w:t xml:space="preserve">：孩子在卑微环境中长大，却展现出非凡能力或气质；4. 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身份觉醒与命运实现</w:t>
      </w:r>
      <w:r>
        <w:rPr>
          <w:rFonts w:ascii="Times New Roman" w:hAnsi="Times New Roman" w:eastAsia="宋体" w:cs="Times New Roman"/>
          <w:sz w:val="24"/>
          <w:szCs w:val="24"/>
        </w:rPr>
        <w:t>：通过某种契机（如解答谜题、建立功业）回归权力中心，无意中实现预言，要么建立伟业，要么走向悲剧。这种跨文化的共同模板，并非偶然，它反映了权力传承的合法性焦虑（需神性血统）、对民间智慧的吸纳（底层成长带来共情），以及命运论与自由意志冲突的永恒哲学命题。</w:t>
      </w:r>
    </w:p>
    <w:p w14:paraId="330BBD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中国历史中亦可找到类似模板，如汉宣帝刘询（刘病已），他作为废太子之孙，幼遭巫蛊之祸，生长于民间，熟知民生疾苦，后即位为帝，深刻提出“汉家制度，本以霸王道杂之”，成就中兴之治。这同样符合“高贵血统-民间磨难-重归大统-治国卓越”的叙事结构。</w:t>
      </w:r>
    </w:p>
    <w:p w14:paraId="0D099F57">
      <w:pPr>
        <w:pStyle w:val="2"/>
        <w:widowControl/>
      </w:pPr>
      <w:r>
        <w:t>结论：分析框架与行动智慧</w:t>
      </w:r>
    </w:p>
    <w:p w14:paraId="14D27A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最后，课程总结了核心方法论：</w:t>
      </w:r>
    </w:p>
    <w:p w14:paraId="7A07E469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警惕“高认知穷困”</w:t>
      </w:r>
      <w:r>
        <w:rPr>
          <w:rFonts w:ascii="Times New Roman" w:hAnsi="Times New Roman" w:eastAsia="宋体" w:cs="Times New Roman"/>
          <w:sz w:val="24"/>
          <w:szCs w:val="24"/>
        </w:rPr>
        <w:t>：学习的目的不仅是理解世界，更是为了改变世界。应追求从“知”到“行”的跨越。</w:t>
      </w:r>
    </w:p>
    <w:p w14:paraId="2D388F52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掌握“SMART”原则</w:t>
      </w:r>
      <w:r>
        <w:rPr>
          <w:rFonts w:ascii="Times New Roman" w:hAnsi="Times New Roman" w:eastAsia="宋体" w:cs="Times New Roman"/>
          <w:sz w:val="24"/>
          <w:szCs w:val="24"/>
        </w:rPr>
        <w:t>：设定目标应是具体的（Specific）、可衡量的（Measurable）、可实现的（Attainable）、相关的（Relevant）、有时限的（Time-bound）。这为解决问题提供了可操作的路径。</w:t>
      </w:r>
    </w:p>
    <w:p w14:paraId="274FFC1D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理解叙事与权力的复杂互动</w:t>
      </w:r>
      <w:r>
        <w:rPr>
          <w:rFonts w:ascii="Times New Roman" w:hAnsi="Times New Roman" w:eastAsia="宋体" w:cs="Times New Roman"/>
          <w:sz w:val="24"/>
          <w:szCs w:val="24"/>
        </w:rPr>
        <w:t>：在分析社会现象与个人困境时，需同时洞察宏观的权力结构制约与微观的个体沟通策略。可以“说软话”，但在核心原则上需“做硬事”，明确边界。</w:t>
      </w:r>
    </w:p>
    <w:p w14:paraId="0F59D8A1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神话与历史的叙事模板</w:t>
      </w:r>
      <w:r>
        <w:rPr>
          <w:rFonts w:ascii="Times New Roman" w:hAnsi="Times New Roman" w:eastAsia="宋体" w:cs="Times New Roman"/>
          <w:sz w:val="24"/>
          <w:szCs w:val="24"/>
        </w:rPr>
        <w:t>：经典叙事模式揭示了人类社会对权力、命运、身份与合法性的深层文化编码，为理解文学、历史乃至现实政治提供了宝贵的分析透镜。</w:t>
      </w:r>
    </w:p>
    <w:p w14:paraId="1CBEF9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本次讲授通过交织神话案例、社会观察与哲学反思，旨在引导一种既深入析因，又指向实践的综合性思维训练。</w:t>
      </w:r>
    </w:p>
    <w:p w14:paraId="0954B4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0FBE4"/>
    <w:multiLevelType w:val="singleLevel"/>
    <w:tmpl w:val="8680FBE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DA4A98FD"/>
    <w:multiLevelType w:val="singleLevel"/>
    <w:tmpl w:val="DA4A98F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DC05BCAF"/>
    <w:multiLevelType w:val="singleLevel"/>
    <w:tmpl w:val="DC05BCA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DE2C88F8"/>
    <w:multiLevelType w:val="singleLevel"/>
    <w:tmpl w:val="DE2C88F8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846DC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727683"/>
    <w:rsid w:val="064C6AF5"/>
    <w:rsid w:val="067A24CB"/>
    <w:rsid w:val="06BC5921"/>
    <w:rsid w:val="079140A9"/>
    <w:rsid w:val="087972B9"/>
    <w:rsid w:val="090E3AF0"/>
    <w:rsid w:val="091C542B"/>
    <w:rsid w:val="09596590"/>
    <w:rsid w:val="09883FB8"/>
    <w:rsid w:val="09C03DD4"/>
    <w:rsid w:val="09C75D32"/>
    <w:rsid w:val="0A7452F6"/>
    <w:rsid w:val="0B170DB6"/>
    <w:rsid w:val="0BB2611A"/>
    <w:rsid w:val="0D593375"/>
    <w:rsid w:val="0D6A04CC"/>
    <w:rsid w:val="0DE94E82"/>
    <w:rsid w:val="0E99245F"/>
    <w:rsid w:val="0EB0553A"/>
    <w:rsid w:val="0EC059FA"/>
    <w:rsid w:val="0F4B6177"/>
    <w:rsid w:val="10230142"/>
    <w:rsid w:val="11046593"/>
    <w:rsid w:val="115C3E08"/>
    <w:rsid w:val="127C445A"/>
    <w:rsid w:val="127D6CFA"/>
    <w:rsid w:val="13CE0032"/>
    <w:rsid w:val="13DE7A77"/>
    <w:rsid w:val="13F56650"/>
    <w:rsid w:val="14736E8B"/>
    <w:rsid w:val="1491124D"/>
    <w:rsid w:val="14A97773"/>
    <w:rsid w:val="14DE264A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C5D3CD0"/>
    <w:rsid w:val="1CE76F6C"/>
    <w:rsid w:val="1D277F38"/>
    <w:rsid w:val="1D5752DA"/>
    <w:rsid w:val="1D6D3C7F"/>
    <w:rsid w:val="1EC21DA9"/>
    <w:rsid w:val="1FB16091"/>
    <w:rsid w:val="1FB81312"/>
    <w:rsid w:val="1FDF3988"/>
    <w:rsid w:val="1FFB6081"/>
    <w:rsid w:val="21892AE9"/>
    <w:rsid w:val="221E111A"/>
    <w:rsid w:val="225F54E2"/>
    <w:rsid w:val="228C24F1"/>
    <w:rsid w:val="237335B5"/>
    <w:rsid w:val="238118AC"/>
    <w:rsid w:val="243301D1"/>
    <w:rsid w:val="25126C4F"/>
    <w:rsid w:val="26BA31D2"/>
    <w:rsid w:val="28292D65"/>
    <w:rsid w:val="297F6D01"/>
    <w:rsid w:val="299E101A"/>
    <w:rsid w:val="2A4E4E38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F70AF4"/>
    <w:rsid w:val="32391FD6"/>
    <w:rsid w:val="33112C78"/>
    <w:rsid w:val="33AE225D"/>
    <w:rsid w:val="33C80646"/>
    <w:rsid w:val="34041163"/>
    <w:rsid w:val="3437046D"/>
    <w:rsid w:val="34912209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E24A4C"/>
    <w:rsid w:val="4B7B4D72"/>
    <w:rsid w:val="4B9F1998"/>
    <w:rsid w:val="4BFA106D"/>
    <w:rsid w:val="4C41120C"/>
    <w:rsid w:val="4C5638DD"/>
    <w:rsid w:val="4C5A5B5E"/>
    <w:rsid w:val="4CE57760"/>
    <w:rsid w:val="4DF242A9"/>
    <w:rsid w:val="4E591117"/>
    <w:rsid w:val="4EB2348E"/>
    <w:rsid w:val="4EBC3616"/>
    <w:rsid w:val="4F0E1B95"/>
    <w:rsid w:val="4F2E6B6B"/>
    <w:rsid w:val="4FA846DC"/>
    <w:rsid w:val="51204589"/>
    <w:rsid w:val="5122582E"/>
    <w:rsid w:val="513106A6"/>
    <w:rsid w:val="515264A1"/>
    <w:rsid w:val="51DE53FC"/>
    <w:rsid w:val="521E1B1D"/>
    <w:rsid w:val="52702AC2"/>
    <w:rsid w:val="52833DFF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B53F0D"/>
    <w:rsid w:val="5BFA66E2"/>
    <w:rsid w:val="5C231BCF"/>
    <w:rsid w:val="5C58408E"/>
    <w:rsid w:val="5CA5307E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E591C79"/>
    <w:rsid w:val="6F6B7526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0E028E"/>
    <w:rsid w:val="73880099"/>
    <w:rsid w:val="73D75D5A"/>
    <w:rsid w:val="74764D0F"/>
    <w:rsid w:val="758D4A10"/>
    <w:rsid w:val="75D36A62"/>
    <w:rsid w:val="75E0437C"/>
    <w:rsid w:val="77AA6873"/>
    <w:rsid w:val="77DE237B"/>
    <w:rsid w:val="79C6221A"/>
    <w:rsid w:val="79DC01FD"/>
    <w:rsid w:val="79E13E9F"/>
    <w:rsid w:val="7A41652D"/>
    <w:rsid w:val="7ACB396D"/>
    <w:rsid w:val="7B27140C"/>
    <w:rsid w:val="7BDF7A9D"/>
    <w:rsid w:val="7C5F70AA"/>
    <w:rsid w:val="7D3C6D19"/>
    <w:rsid w:val="7D5B5367"/>
    <w:rsid w:val="7E2D11DE"/>
    <w:rsid w:val="7EB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1904</Words>
  <Characters>1912</Characters>
  <Lines>0</Lines>
  <Paragraphs>0</Paragraphs>
  <TotalTime>4</TotalTime>
  <ScaleCrop>false</ScaleCrop>
  <LinksUpToDate>false</LinksUpToDate>
  <CharactersWithSpaces>1921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2026-06-06T14:48:00Z</dcterms:created>
  <dc:creator>hwongisa</dc:creator>
  <cp:lastModifiedBy>hwongisa</cp:lastModifiedBy>
  <dcterms:modified xsi:type="dcterms:W3CDTF">2026-06-08T05:36:57Z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7B3D7166E50C4794B76B1F682C371A88_11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