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99DFC">
      <w:pPr>
        <w:pStyle w:val="13"/>
        <w:widowControl/>
      </w:pPr>
      <w:bookmarkStart w:id="0" w:name="_GoBack"/>
      <w:bookmarkEnd w:id="0"/>
      <w:r>
        <w:t>课程讲稿：正义理论、社会制度与历史案例的多学科探讨</w:t>
      </w:r>
    </w:p>
    <w:p w14:paraId="1A2A7060">
      <w:pPr>
        <w:pStyle w:val="2"/>
        <w:widowControl/>
        <w:numPr>
          <w:ilvl w:val="0"/>
          <w:numId w:val="1"/>
        </w:numPr>
        <w:topLinePunct w:val="0"/>
        <w:ind w:left="0" w:leftChars="0" w:firstLine="0" w:firstLineChars="0"/>
        <w:rPr>
          <w:rFonts w:hint="eastAsia" w:ascii="黑体" w:hAnsi="黑体" w:eastAsia="黑体" w:cs="黑体"/>
          <w:b w:val="0"/>
          <w:bdr w:val="none" w:sz="0" w:space="0"/>
        </w:rPr>
      </w:pPr>
      <w:r>
        <w:t>课程回顾与展示评析</w:t>
      </w:r>
    </w:p>
    <w:p w14:paraId="579BA63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本次课程首先对许博同学此前的课堂展示进行了回顾与评析。该展示围绕其姓名渊源、家乡（安徽亳州）历史文化及个人兴趣展开。</w:t>
      </w:r>
    </w:p>
    <w:p w14:paraId="2E6EDB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总体评价积极与正面，并着重从学术表达角度提出两点建设性意见：</w:t>
      </w:r>
    </w:p>
    <w:p w14:paraId="4D2E8316">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叙事结构与焦点</w:t>
      </w:r>
      <w:r>
        <w:rPr>
          <w:rFonts w:ascii="Times New Roman" w:hAnsi="Times New Roman" w:eastAsia="宋体" w:cs="Times New Roman"/>
          <w:sz w:val="24"/>
          <w:szCs w:val="24"/>
        </w:rPr>
        <w:t>：展示开场宜明确汇报目的与核心框架，后续内容应紧密围绕主线展开。对家乡历史的详实介绍若能与个人成长或认知主线的关联性更为凸显，则整体逻辑将更为严谨。</w:t>
      </w:r>
    </w:p>
    <w:p w14:paraId="44D921CD">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表达呈现与沟通</w:t>
      </w:r>
      <w:r>
        <w:rPr>
          <w:rFonts w:ascii="Times New Roman" w:hAnsi="Times New Roman" w:eastAsia="宋体" w:cs="Times New Roman"/>
          <w:sz w:val="24"/>
          <w:szCs w:val="24"/>
        </w:rPr>
        <w:t>：展示时适度的语速控制、自然的停顿以及与听众的眼神交流，能有效增强信息传递的效度与共情力。</w:t>
      </w:r>
    </w:p>
    <w:p w14:paraId="50CD4D6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需要特别指出的是，该同学在准备时间有限的条件下，主动承担首次展示任务，展现了高度的责任感与进取心，此行为本身即是一种积极的实践。</w:t>
      </w:r>
    </w:p>
    <w:p w14:paraId="11FC2087">
      <w:pPr>
        <w:keepNext w:val="0"/>
        <w:keepLines w:val="0"/>
        <w:widowControl/>
        <w:suppressLineNumbers w:val="0"/>
        <w:jc w:val="left"/>
        <w:rPr>
          <w:rFonts w:ascii="宋体" w:hAnsi="宋体" w:eastAsia="宋体" w:cs="宋体"/>
          <w:kern w:val="0"/>
          <w:sz w:val="24"/>
          <w:szCs w:val="24"/>
          <w:lang w:val="en-US" w:eastAsia="zh-CN" w:bidi="ar"/>
        </w:rPr>
      </w:pPr>
    </w:p>
    <w:p w14:paraId="6D53CD6B">
      <w:pPr>
        <w:pStyle w:val="2"/>
        <w:widowControl/>
        <w:numPr>
          <w:ilvl w:val="0"/>
          <w:numId w:val="1"/>
        </w:numPr>
        <w:topLinePunct w:val="0"/>
        <w:ind w:left="0" w:leftChars="0" w:firstLine="0" w:firstLineChars="0"/>
        <w:rPr>
          <w:rFonts w:hint="eastAsia" w:ascii="黑体" w:hAnsi="黑体" w:eastAsia="黑体" w:cs="黑体"/>
          <w:b w:val="0"/>
          <w:bdr w:val="none" w:sz="0" w:space="0"/>
        </w:rPr>
      </w:pPr>
      <w:r>
        <w:t>理论核心：从正义象征到“无知之幕”</w:t>
      </w:r>
    </w:p>
    <w:p w14:paraId="3495084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的核心理论部分始于对“正义”理念的追溯。古希腊罗马神话中正义女神（Justitia）的经典形象——蒙眼（象征排除偏见、一视同仁）、手持天平（象征权衡与公平）与利剑（象征裁决与力量）——奠定了西方司法文化中对理性、公正裁判的视觉隐喻。</w:t>
      </w:r>
    </w:p>
    <w:p w14:paraId="68290FB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为深入探讨现代社会公平正义的哲学基础，课程重点引入了20世纪政治哲学家约翰·罗尔斯（John Rawls）在《正义论》（A Theory of Justice）中提出的著名思想实验——“无知之幕”（Veil of ignorance）。该实验假设人们在决定社会基本结构时，处于一种“原初状态”，对自己在未来的社会中将占据何种具体位置（如阶级地位、社会身份、天赋禀赋、个人观念乃至心理倾向）一无所知。在此状态下，由于无人能确保自己不会落入最不利的处境，理性的参与者为规避最坏的可能性，将倾向于选择一套能最大程度改善“最少受惠者”处境的社会制度原则。</w:t>
      </w:r>
    </w:p>
    <w:p w14:paraId="6947000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由此推导出罗尔斯正义两原则的经典表述：</w:t>
      </w:r>
    </w:p>
    <w:p w14:paraId="0E58183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平等自由原则</w:t>
      </w:r>
      <w:r>
        <w:rPr>
          <w:rFonts w:ascii="Times New Roman" w:hAnsi="Times New Roman" w:eastAsia="宋体" w:cs="Times New Roman"/>
          <w:sz w:val="24"/>
          <w:szCs w:val="24"/>
        </w:rPr>
        <w:t>：每个人对与所有人所拥有的最广泛平等的基本自由体系相容的类似自由体系，都应有一种平等的权利。</w:t>
      </w:r>
    </w:p>
    <w:p w14:paraId="718103F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差异原则</w:t>
      </w:r>
      <w:r>
        <w:rPr>
          <w:rFonts w:ascii="Times New Roman" w:hAnsi="Times New Roman" w:eastAsia="宋体" w:cs="Times New Roman"/>
          <w:sz w:val="24"/>
          <w:szCs w:val="24"/>
        </w:rPr>
        <w:t>：社会和经济的不平等应这样安排，使它们：（1）在与正义的储存原则一致的情况下，适合于最少受惠者的最大利益（差别原则）；（2）依系于在机会公平平等的条件下职务和地位向所有人开放（机会公平平等原则）。</w:t>
      </w:r>
    </w:p>
    <w:p w14:paraId="17C618C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以高等教育入学机会的差异化政策（如针对特定地区、群体考生的加分或专项计划）为例，引导思考在“无知之幕”背后进行选择时，人们基于对潜在最不利处境的关切，可能如何权衡效率与补偿正义，从而在理论上为旨在促进实质公平的矫正政策提供了伦理论证。</w:t>
      </w:r>
    </w:p>
    <w:p w14:paraId="7508FE65">
      <w:pPr>
        <w:keepNext w:val="0"/>
        <w:keepLines w:val="0"/>
        <w:widowControl/>
        <w:suppressLineNumbers w:val="0"/>
        <w:jc w:val="left"/>
        <w:rPr>
          <w:rFonts w:ascii="宋体" w:hAnsi="宋体" w:eastAsia="宋体" w:cs="宋体"/>
          <w:kern w:val="0"/>
          <w:sz w:val="24"/>
          <w:szCs w:val="24"/>
          <w:lang w:val="en-US" w:eastAsia="zh-CN" w:bidi="ar"/>
        </w:rPr>
      </w:pPr>
    </w:p>
    <w:p w14:paraId="37EC4A03">
      <w:pPr>
        <w:pStyle w:val="2"/>
        <w:widowControl/>
        <w:numPr>
          <w:ilvl w:val="0"/>
          <w:numId w:val="1"/>
        </w:numPr>
        <w:topLinePunct w:val="0"/>
        <w:ind w:left="0" w:leftChars="0" w:firstLine="0" w:firstLineChars="0"/>
        <w:rPr>
          <w:rFonts w:hint="eastAsia" w:ascii="黑体" w:hAnsi="黑体" w:eastAsia="黑体" w:cs="黑体"/>
          <w:b w:val="0"/>
          <w:bdr w:val="none" w:sz="0" w:space="0"/>
        </w:rPr>
      </w:pPr>
      <w:r>
        <w:t>经济逻辑：社会分工、效率与财富观的变革</w:t>
      </w:r>
    </w:p>
    <w:p w14:paraId="23655A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为阐明追求绝对的结果平等可能损害社会整体福祉，课程转入经济学视角，回溯了亚当·斯密（Adam Smith）在《国富论》（The Wealth of Nations）中的奠基性论述：</w:t>
      </w:r>
    </w:p>
    <w:p w14:paraId="1019A7C4">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国民财富定义的范式转换</w:t>
      </w:r>
      <w:r>
        <w:rPr>
          <w:rFonts w:ascii="Times New Roman" w:hAnsi="Times New Roman" w:eastAsia="宋体" w:cs="Times New Roman"/>
          <w:sz w:val="24"/>
          <w:szCs w:val="24"/>
        </w:rPr>
        <w:t>：斯密批判了重商主义将财富等同于金银储量的观点，转而将财富定义为一国国民每年生产的所有商品和服务的市场价值总和。这一从静态存量到动态流量的转变，构成了现代国民经济核算（如GDP）的理论基石。</w:t>
      </w:r>
    </w:p>
    <w:p w14:paraId="712D96DC">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分工对生产力的决定性作用</w:t>
      </w:r>
      <w:r>
        <w:rPr>
          <w:rFonts w:ascii="Times New Roman" w:hAnsi="Times New Roman" w:eastAsia="宋体" w:cs="Times New Roman"/>
          <w:sz w:val="24"/>
          <w:szCs w:val="24"/>
        </w:rPr>
        <w:t>：斯密以制针工厂的著名案例，实证分析了劳动分工如何通过专业化（每人只负责一道工序）显著提升生产效率。其分析表明，分工协作带来的效率提升，是国民财富增长的根本源泉。这从经济学逻辑上论证了，基于分工与贡献差异所产生的收入不平等，在激励效率、促进社会总财富增长方面具有合理性。</w:t>
      </w:r>
    </w:p>
    <w:p w14:paraId="214AAC6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基于此分析，课程进一步指出，工业革命后的英国在全球范围内的扩张策略，从直接的殖民统治逐渐转向利用其工业生产的效率优势，通过国际贸易体系，向全球市场倾销廉价工业品，并以此建立经济依附关系。这一历史转变，正是上述新财富观与分工理论在国际政治经济领域的现实映射。</w:t>
      </w:r>
    </w:p>
    <w:p w14:paraId="6ACFE302">
      <w:pPr>
        <w:keepNext w:val="0"/>
        <w:keepLines w:val="0"/>
        <w:widowControl/>
        <w:suppressLineNumbers w:val="0"/>
        <w:jc w:val="left"/>
        <w:rPr>
          <w:rFonts w:ascii="宋体" w:hAnsi="宋体" w:eastAsia="宋体" w:cs="宋体"/>
          <w:kern w:val="0"/>
          <w:sz w:val="24"/>
          <w:szCs w:val="24"/>
          <w:lang w:val="en-US" w:eastAsia="zh-CN" w:bidi="ar"/>
        </w:rPr>
      </w:pPr>
    </w:p>
    <w:p w14:paraId="0973E926">
      <w:pPr>
        <w:pStyle w:val="2"/>
        <w:widowControl/>
        <w:numPr>
          <w:ilvl w:val="0"/>
          <w:numId w:val="1"/>
        </w:numPr>
        <w:topLinePunct w:val="0"/>
        <w:ind w:left="0" w:leftChars="0" w:firstLine="0" w:firstLineChars="0"/>
        <w:rPr>
          <w:rFonts w:hint="eastAsia" w:ascii="黑体" w:hAnsi="黑体" w:eastAsia="黑体" w:cs="黑体"/>
          <w:b w:val="0"/>
          <w:bdr w:val="none" w:sz="0" w:space="0"/>
        </w:rPr>
      </w:pPr>
      <w:r>
        <w:t>制度框架：民主、自由与法治的边界</w:t>
      </w:r>
    </w:p>
    <w:p w14:paraId="01582650">
      <w:pPr>
        <w:keepNext w:val="0"/>
        <w:keepLines w:val="0"/>
        <w:widowControl/>
        <w:numPr>
          <w:numId w:val="0"/>
        </w:numPr>
        <w:suppressLineNumbers w:val="0"/>
        <w:jc w:val="left"/>
        <w:rPr>
          <w:rStyle w:val="16"/>
          <w:rFonts w:ascii="宋体" w:hAnsi="宋体" w:eastAsia="宋体" w:cs="宋体"/>
          <w:kern w:val="0"/>
          <w:sz w:val="24"/>
          <w:szCs w:val="24"/>
          <w:lang w:val="en-US" w:eastAsia="zh-CN" w:bidi="ar"/>
        </w:rPr>
      </w:pPr>
    </w:p>
    <w:p w14:paraId="362BC82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课程进一步辨析了民主与自由的概念差异，以及多数决原则的潜在危险。</w:t>
      </w:r>
    </w:p>
    <w:p w14:paraId="78EA42A2">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民主与自由的区分</w:t>
      </w:r>
      <w:r>
        <w:rPr>
          <w:rFonts w:ascii="Times New Roman" w:hAnsi="Times New Roman" w:eastAsia="宋体" w:cs="Times New Roman"/>
          <w:sz w:val="24"/>
          <w:szCs w:val="24"/>
        </w:rPr>
        <w:t>：民主主要指一种政治决策程序，即“谁作主”（多数决定）；而自由则关乎个人权利的实质内容与范围。纯粹的“多数决”程序若无约束，可能导致“多数人的暴政”，侵犯少数人或个体的基本权利（如生命权、财产权、言论自由）。</w:t>
      </w:r>
    </w:p>
    <w:p w14:paraId="2B8F225F">
      <w:pPr>
        <w:keepNext w:val="0"/>
        <w:keepLines w:val="0"/>
        <w:widowControl/>
        <w:suppressLineNumbers w:val="0"/>
        <w:jc w:val="left"/>
        <w:rPr>
          <w:rFonts w:ascii="宋体" w:hAnsi="宋体" w:eastAsia="宋体" w:cs="宋体"/>
          <w:kern w:val="0"/>
          <w:sz w:val="24"/>
          <w:szCs w:val="24"/>
          <w:lang w:val="en-US" w:eastAsia="zh-CN" w:bidi="ar"/>
        </w:rPr>
      </w:pPr>
    </w:p>
    <w:p w14:paraId="2A202FF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多数人暴政</w:t>
      </w:r>
      <w:r>
        <w:rPr>
          <w:rFonts w:ascii="Times New Roman" w:hAnsi="Times New Roman" w:eastAsia="宋体" w:cs="Times New Roman"/>
          <w:sz w:val="24"/>
          <w:szCs w:val="24"/>
        </w:rPr>
        <w:t>：纯粹的民主程序可能存在风险，即51%的多数人可能投票剥夺49%少数人的基本权利（如生命权、合法财产权）。因此，现代宪政国家的核心设计之一便是确立“反多数禁区”，即通过宪法保障的基本人权（生命权、财产权等）构成了一道多数决也不能逾越的防线。简言之，民主给予了人们发声的“麦克风”，而自由确保了人们“说话的内容”不会被随意定罪。</w:t>
      </w:r>
    </w:p>
    <w:p w14:paraId="71343E84">
      <w:pPr>
        <w:keepNext w:val="0"/>
        <w:keepLines w:val="0"/>
        <w:widowControl/>
        <w:suppressLineNumbers w:val="0"/>
        <w:jc w:val="left"/>
        <w:rPr>
          <w:rFonts w:ascii="宋体" w:hAnsi="宋体" w:eastAsia="宋体" w:cs="宋体"/>
          <w:kern w:val="0"/>
          <w:sz w:val="24"/>
          <w:szCs w:val="24"/>
          <w:lang w:val="en-US" w:eastAsia="zh-CN" w:bidi="ar"/>
        </w:rPr>
      </w:pPr>
    </w:p>
    <w:p w14:paraId="41B55154">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法治作为自由的基石</w:t>
      </w:r>
      <w:r>
        <w:rPr>
          <w:rFonts w:ascii="Times New Roman" w:hAnsi="Times New Roman" w:eastAsia="宋体" w:cs="Times New Roman"/>
          <w:sz w:val="24"/>
          <w:szCs w:val="24"/>
        </w:rPr>
        <w:t>：现代法治的核心功能之一，正是通过确立宪法和法律的至上权威，划定某些基本人权与自由为不可由多数票决予以剥夺的领域，从而为自由设立保障，防止公权力滥用。其基本原则是“法无授权不可为”（对公权力）、“法无禁止即可为”（对私权利）。</w:t>
      </w:r>
    </w:p>
    <w:p w14:paraId="22567BC2">
      <w:pPr>
        <w:keepNext w:val="0"/>
        <w:keepLines w:val="0"/>
        <w:widowControl/>
        <w:suppressLineNumbers w:val="0"/>
        <w:jc w:val="left"/>
        <w:rPr>
          <w:rFonts w:ascii="宋体" w:hAnsi="宋体" w:eastAsia="宋体" w:cs="宋体"/>
          <w:kern w:val="0"/>
          <w:sz w:val="24"/>
          <w:szCs w:val="24"/>
          <w:lang w:val="en-US" w:eastAsia="zh-CN" w:bidi="ar"/>
        </w:rPr>
      </w:pPr>
    </w:p>
    <w:p w14:paraId="7845DBE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此框架下，课程探讨了通过税收进行社会财富再分配的正当性。从“无知之幕”的视角出发，即便一个人在现实中是成功者，也无法保证在“下一次投胎”或自己的后代中不会成为弱势者。因此，赞同一套通过累进税制等“劫富济贫”的方式，为所有社会成员提供基本保障、改善最不利者处境的社会契约，是一种理性的选择。这可以理解为一种跨期、跨代的风险共担机制。当然，现实中关于税率的争论（左翼认为不足，右翼认为惩罚了努力与效率）以及“养懒汉”的批评，体现了在激励、公平与保障之间寻求平衡的永恒难题。</w:t>
      </w:r>
    </w:p>
    <w:p w14:paraId="7FD04D93">
      <w:pPr>
        <w:keepNext w:val="0"/>
        <w:keepLines w:val="0"/>
        <w:widowControl/>
        <w:suppressLineNumbers w:val="0"/>
        <w:jc w:val="left"/>
        <w:rPr>
          <w:rFonts w:ascii="宋体" w:hAnsi="宋体" w:eastAsia="宋体" w:cs="宋体"/>
          <w:kern w:val="0"/>
          <w:sz w:val="24"/>
          <w:szCs w:val="24"/>
          <w:lang w:val="en-US" w:eastAsia="zh-CN" w:bidi="ar"/>
        </w:rPr>
      </w:pPr>
    </w:p>
    <w:p w14:paraId="2C757918">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中西方法律传统的一点比较：</w:t>
      </w:r>
    </w:p>
    <w:p w14:paraId="7705B4F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西方法律传统（以罗马法为渊源）</w:t>
      </w:r>
      <w:r>
        <w:rPr>
          <w:rFonts w:ascii="Times New Roman" w:hAnsi="Times New Roman" w:eastAsia="宋体" w:cs="Times New Roman"/>
          <w:sz w:val="24"/>
          <w:szCs w:val="24"/>
        </w:rPr>
        <w:t>：倾向于“诸法分立”，以民事法律（物权、债权、继承等）为核心，注重界定公民间的权利与契约关系，法律面前身份平等色彩较浓。其思维类似调节平等主体间关系的“商业规则”。</w:t>
      </w:r>
    </w:p>
    <w:p w14:paraId="538131D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中国法律传统（以古代法为例）</w:t>
      </w:r>
      <w:r>
        <w:rPr>
          <w:rFonts w:ascii="Times New Roman" w:hAnsi="Times New Roman" w:eastAsia="宋体" w:cs="Times New Roman"/>
          <w:sz w:val="24"/>
          <w:szCs w:val="24"/>
        </w:rPr>
        <w:t>：长期是“诸法合体，以刑为主”。法律的核心功能是维护宗法秩序与社会稳定，而非调整平等个体关系。因此：</w:t>
      </w:r>
    </w:p>
    <w:p w14:paraId="5929D25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程序上：</w:t>
      </w:r>
      <w:r>
        <w:rPr>
          <w:rFonts w:ascii="Times New Roman" w:hAnsi="Times New Roman" w:eastAsia="宋体" w:cs="Times New Roman"/>
          <w:sz w:val="24"/>
          <w:szCs w:val="24"/>
        </w:rPr>
        <w:t>官府主动纠察，刑讯长期存在，旨在惩戒以儆效尤。</w:t>
      </w:r>
    </w:p>
    <w:p w14:paraId="791DA3A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实体上：</w:t>
      </w:r>
      <w:r>
        <w:rPr>
          <w:rFonts w:ascii="Times New Roman" w:hAnsi="Times New Roman" w:eastAsia="宋体" w:cs="Times New Roman"/>
          <w:sz w:val="24"/>
          <w:szCs w:val="24"/>
        </w:rPr>
        <w:t>“礼”重于“法”，同罪不同罚（如子殴父与父殴子判罚截然不同），体现了强烈的伦理等级色彩。其思维类似维护家庭秩序的“家长式管教”。</w:t>
      </w:r>
    </w:p>
    <w:p w14:paraId="5F23BF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课程指出，现代法律制度已是东西方相互借鉴融合的产物，例如中国法律现已严格禁止刑讯逼供，并确立了非法证据排除规则。</w:t>
      </w:r>
    </w:p>
    <w:p w14:paraId="656519F4">
      <w:pPr>
        <w:pStyle w:val="2"/>
        <w:widowControl/>
        <w:numPr>
          <w:ilvl w:val="0"/>
          <w:numId w:val="1"/>
        </w:numPr>
        <w:topLinePunct w:val="0"/>
        <w:ind w:left="0" w:leftChars="0" w:firstLine="0" w:firstLineChars="0"/>
        <w:rPr>
          <w:rFonts w:hint="eastAsia" w:ascii="黑体" w:hAnsi="黑体" w:eastAsia="黑体" w:cs="黑体"/>
          <w:b w:val="0"/>
          <w:bdr w:val="none" w:sz="0" w:space="0"/>
        </w:rPr>
      </w:pPr>
      <w:r>
        <w:t>历史与政策案例：印度种姓制度与平权行动</w:t>
      </w:r>
    </w:p>
    <w:p w14:paraId="659D47C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课程以印度种姓制度为具体案例，探讨历史形成的不公正结构及其现代纠正机制。</w:t>
      </w:r>
      <w:r>
        <w:rPr>
          <w:rStyle w:val="16"/>
          <w:rFonts w:ascii="Times New Roman" w:hAnsi="Times New Roman" w:eastAsia="宋体" w:cs="Times New Roman"/>
          <w:sz w:val="24"/>
          <w:szCs w:val="24"/>
        </w:rPr>
        <w:t>种姓制度的起源与固化</w:t>
      </w:r>
      <w:r>
        <w:rPr>
          <w:rFonts w:ascii="Times New Roman" w:hAnsi="Times New Roman" w:eastAsia="宋体" w:cs="Times New Roman"/>
          <w:sz w:val="24"/>
          <w:szCs w:val="24"/>
        </w:rPr>
        <w:t>：种姓制度（瓦尔纳体系）最初与古代印度雅利安人的社会分层有关，后通过宗教典籍（如《梨俱吠陀》中的“原人歌”）将其神圣化、世袭化，并与职业严格绑定，形成了婆罗门（祭司）、刹帝利（武士与统治者）、吠舍（平民）、首陀罗（劳动者）以及“不可接触者”（达利特）的严密等级体系，伴随严格的社会隔离与歧视。</w:t>
      </w:r>
    </w:p>
    <w:p w14:paraId="63956C47">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现代宪法与“预留政策”</w:t>
      </w:r>
      <w:r>
        <w:rPr>
          <w:rFonts w:ascii="Times New Roman" w:hAnsi="Times New Roman" w:eastAsia="宋体" w:cs="Times New Roman"/>
          <w:sz w:val="24"/>
          <w:szCs w:val="24"/>
        </w:rPr>
        <w:t>：为纠正历史积弊，印度宪法明文规定了“预留制度”，在政府公职、公立教育机构中为“表列种姓”、“表列部落”等历史上受压迫的群体保留一定比例的名额。</w:t>
      </w:r>
    </w:p>
    <w:p w14:paraId="516A5066">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政策争议与学术讨论</w:t>
      </w:r>
      <w:r>
        <w:rPr>
          <w:rFonts w:ascii="Times New Roman" w:hAnsi="Times New Roman" w:eastAsia="宋体" w:cs="Times New Roman"/>
          <w:sz w:val="24"/>
          <w:szCs w:val="24"/>
        </w:rPr>
        <w:t>：该政策长期面临“反向歧视”的批评，即高种姓候选人可能因名额限制而需要更高的成绩才能获得入学或入职机会。课程提及，有相关研究显示，在印度某些顶尖工程学院中，虽然通过预留政策入学的学生入学分数平均较低，但其毕业率与高种姓学生群体的差距远小于入学分数的差距。这一现象引发了关于高等教育筛选标准有效性、学生入学后表现的影响机制（如个人能动性、院校支持）等更深层次的学术讨论。</w:t>
      </w:r>
    </w:p>
    <w:p w14:paraId="29581563">
      <w:pPr>
        <w:keepNext w:val="0"/>
        <w:keepLines w:val="0"/>
        <w:widowControl/>
        <w:suppressLineNumbers w:val="0"/>
        <w:jc w:val="left"/>
        <w:rPr>
          <w:rFonts w:ascii="宋体" w:hAnsi="宋体" w:eastAsia="宋体" w:cs="宋体"/>
          <w:kern w:val="0"/>
          <w:sz w:val="24"/>
          <w:szCs w:val="24"/>
          <w:lang w:val="en-US" w:eastAsia="zh-CN" w:bidi="ar"/>
        </w:rPr>
      </w:pPr>
    </w:p>
    <w:p w14:paraId="5B37F6BF">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新兴行业与结构松动</w:t>
      </w:r>
      <w:r>
        <w:rPr>
          <w:rFonts w:ascii="Times New Roman" w:hAnsi="Times New Roman" w:eastAsia="宋体" w:cs="Times New Roman"/>
          <w:sz w:val="24"/>
          <w:szCs w:val="24"/>
        </w:rPr>
        <w:t>：针对为何种姓界限在IT等行业似乎不那么凸显的疑问，课程提供了一种分析视角：信息技术作为全新的、在传统种姓职业谱系中无对应位置的经济领域，其快速发展创造了一个相对去传统化的职业空间，这在客观上为部分低种姓群体突破传统职业壁垒提供了历史性的机遇窗口。</w:t>
      </w:r>
    </w:p>
    <w:p w14:paraId="593FF72E">
      <w:pPr>
        <w:keepNext w:val="0"/>
        <w:keepLines w:val="0"/>
        <w:widowControl/>
        <w:suppressLineNumbers w:val="0"/>
        <w:jc w:val="left"/>
        <w:rPr>
          <w:rFonts w:ascii="宋体" w:hAnsi="宋体" w:eastAsia="宋体" w:cs="宋体"/>
          <w:kern w:val="0"/>
          <w:sz w:val="24"/>
          <w:szCs w:val="24"/>
          <w:lang w:val="en-US" w:eastAsia="zh-CN" w:bidi="ar"/>
        </w:rPr>
      </w:pPr>
    </w:p>
    <w:p w14:paraId="2F775CCC">
      <w:pPr>
        <w:pStyle w:val="2"/>
        <w:widowControl/>
        <w:numPr>
          <w:ilvl w:val="0"/>
          <w:numId w:val="1"/>
        </w:numPr>
        <w:topLinePunct w:val="0"/>
        <w:ind w:left="0" w:leftChars="0" w:firstLine="0" w:firstLineChars="0"/>
        <w:rPr>
          <w:rFonts w:hint="eastAsia" w:ascii="黑体" w:hAnsi="黑体" w:eastAsia="黑体" w:cs="黑体"/>
          <w:b w:val="0"/>
          <w:bdr w:val="none" w:sz="0" w:space="0"/>
        </w:rPr>
      </w:pPr>
      <w:r>
        <w:t>结论</w:t>
      </w:r>
    </w:p>
    <w:p w14:paraId="4D7726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总结认为，实现绝对完美的正义是一个永恒的实践课题。然而，人类可以通过理性的契约设计（如罗尔斯的理论）、制度的建构与完善（法治对权利的保护），以及针对历史性与结构性不公的矫正措施（如平权政策），在社会发展中不断趋近正义的目标。这一过程始终需要警惕两种极端：一是退回到弱肉强食的“丛林法则”；二是固化为世袭的等级特权。正义社会的建设，本质上是一个在理想原则与现实约束之间持续反思、协商与改进的公共实践历程。</w:t>
      </w:r>
    </w:p>
    <w:p w14:paraId="0954B4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3B80D6"/>
    <w:multiLevelType w:val="singleLevel"/>
    <w:tmpl w:val="F73B80D6"/>
    <w:lvl w:ilvl="0" w:tentative="0">
      <w:start w:val="1"/>
      <w:numFmt w:val="decimal"/>
      <w:suff w:val="space"/>
      <w:lvlText w:val="%1."/>
      <w:lvlJc w:val="left"/>
      <w:pPr>
        <w:ind w:left="0" w:firstLine="480"/>
      </w:pPr>
      <w:rPr>
        <w:rFonts w:hint="default"/>
      </w:rPr>
    </w:lvl>
  </w:abstractNum>
  <w:abstractNum w:abstractNumId="1">
    <w:nsid w:val="476214D3"/>
    <w:multiLevelType w:val="singleLevel"/>
    <w:tmpl w:val="476214D3"/>
    <w:lvl w:ilvl="0" w:tentative="0">
      <w:start w:val="1"/>
      <w:numFmt w:val="chineseCounting"/>
      <w:suff w:val="nothing"/>
      <w:lvlText w:val="%1、"/>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C50718"/>
    <w:rsid w:val="002B040E"/>
    <w:rsid w:val="01467871"/>
    <w:rsid w:val="014A1528"/>
    <w:rsid w:val="01AB53BD"/>
    <w:rsid w:val="01BF40A4"/>
    <w:rsid w:val="01D306FF"/>
    <w:rsid w:val="027F5442"/>
    <w:rsid w:val="0299032F"/>
    <w:rsid w:val="02B43B55"/>
    <w:rsid w:val="032D44E7"/>
    <w:rsid w:val="0334630D"/>
    <w:rsid w:val="03A41C89"/>
    <w:rsid w:val="04405002"/>
    <w:rsid w:val="04573407"/>
    <w:rsid w:val="04784A5A"/>
    <w:rsid w:val="05727683"/>
    <w:rsid w:val="064C6AF5"/>
    <w:rsid w:val="067A24CB"/>
    <w:rsid w:val="06BC5921"/>
    <w:rsid w:val="079140A9"/>
    <w:rsid w:val="087972B9"/>
    <w:rsid w:val="091C542B"/>
    <w:rsid w:val="09596590"/>
    <w:rsid w:val="09883FB8"/>
    <w:rsid w:val="09C03DD4"/>
    <w:rsid w:val="09C50718"/>
    <w:rsid w:val="09C75D32"/>
    <w:rsid w:val="0A7452F6"/>
    <w:rsid w:val="0B170DB6"/>
    <w:rsid w:val="0BB2611A"/>
    <w:rsid w:val="0D593375"/>
    <w:rsid w:val="0D6A04CC"/>
    <w:rsid w:val="0DE94E82"/>
    <w:rsid w:val="0E99245F"/>
    <w:rsid w:val="0EB0553A"/>
    <w:rsid w:val="0EC059FA"/>
    <w:rsid w:val="0F4B6177"/>
    <w:rsid w:val="11046593"/>
    <w:rsid w:val="115C3E08"/>
    <w:rsid w:val="127C445A"/>
    <w:rsid w:val="127D6CFA"/>
    <w:rsid w:val="13CE0032"/>
    <w:rsid w:val="13DE7A77"/>
    <w:rsid w:val="13F56650"/>
    <w:rsid w:val="14736E8B"/>
    <w:rsid w:val="1491124D"/>
    <w:rsid w:val="14A97773"/>
    <w:rsid w:val="14E20842"/>
    <w:rsid w:val="15952B1E"/>
    <w:rsid w:val="166F7486"/>
    <w:rsid w:val="16737AF9"/>
    <w:rsid w:val="17A9447C"/>
    <w:rsid w:val="191E1810"/>
    <w:rsid w:val="19351363"/>
    <w:rsid w:val="193E080B"/>
    <w:rsid w:val="19515D34"/>
    <w:rsid w:val="19B05AE8"/>
    <w:rsid w:val="1A26176A"/>
    <w:rsid w:val="1AAD309F"/>
    <w:rsid w:val="1C5D3CD0"/>
    <w:rsid w:val="1CE76F6C"/>
    <w:rsid w:val="1D277F38"/>
    <w:rsid w:val="1D5752DA"/>
    <w:rsid w:val="1FB16091"/>
    <w:rsid w:val="1FB81312"/>
    <w:rsid w:val="1FDF3988"/>
    <w:rsid w:val="1FFB6081"/>
    <w:rsid w:val="21892AE9"/>
    <w:rsid w:val="221E111A"/>
    <w:rsid w:val="225F54E2"/>
    <w:rsid w:val="228C24F1"/>
    <w:rsid w:val="237335B5"/>
    <w:rsid w:val="238118AC"/>
    <w:rsid w:val="243301D1"/>
    <w:rsid w:val="25126C4F"/>
    <w:rsid w:val="26BA31D2"/>
    <w:rsid w:val="28292D65"/>
    <w:rsid w:val="297F6D01"/>
    <w:rsid w:val="299E101A"/>
    <w:rsid w:val="2AED4344"/>
    <w:rsid w:val="2AEE4E0C"/>
    <w:rsid w:val="2C4E7D0F"/>
    <w:rsid w:val="2CEF1814"/>
    <w:rsid w:val="2D2D3B22"/>
    <w:rsid w:val="2E3771BC"/>
    <w:rsid w:val="2F367A02"/>
    <w:rsid w:val="304A149B"/>
    <w:rsid w:val="305368D0"/>
    <w:rsid w:val="31F70AF4"/>
    <w:rsid w:val="32391FD6"/>
    <w:rsid w:val="33112C78"/>
    <w:rsid w:val="33AE225D"/>
    <w:rsid w:val="33C80646"/>
    <w:rsid w:val="34041163"/>
    <w:rsid w:val="3437046D"/>
    <w:rsid w:val="34912209"/>
    <w:rsid w:val="35554BAB"/>
    <w:rsid w:val="358E6D09"/>
    <w:rsid w:val="3593069E"/>
    <w:rsid w:val="36CB2473"/>
    <w:rsid w:val="37EA6B8C"/>
    <w:rsid w:val="38597EDA"/>
    <w:rsid w:val="38EB0263"/>
    <w:rsid w:val="3AC807FF"/>
    <w:rsid w:val="3AE24771"/>
    <w:rsid w:val="3B4478EC"/>
    <w:rsid w:val="3B864EEF"/>
    <w:rsid w:val="3C63742D"/>
    <w:rsid w:val="3C976B17"/>
    <w:rsid w:val="3CB32474"/>
    <w:rsid w:val="3D092B06"/>
    <w:rsid w:val="3D385258"/>
    <w:rsid w:val="3DB3688C"/>
    <w:rsid w:val="3E5150BB"/>
    <w:rsid w:val="3F842153"/>
    <w:rsid w:val="404922DC"/>
    <w:rsid w:val="4063370D"/>
    <w:rsid w:val="40D14330"/>
    <w:rsid w:val="412F6F75"/>
    <w:rsid w:val="414E1FCD"/>
    <w:rsid w:val="418D2DB6"/>
    <w:rsid w:val="4191105A"/>
    <w:rsid w:val="41984B67"/>
    <w:rsid w:val="41B46B35"/>
    <w:rsid w:val="41D949B1"/>
    <w:rsid w:val="42883431"/>
    <w:rsid w:val="42DF211C"/>
    <w:rsid w:val="43C330A4"/>
    <w:rsid w:val="43F4729A"/>
    <w:rsid w:val="43F637B8"/>
    <w:rsid w:val="4428319F"/>
    <w:rsid w:val="442A240C"/>
    <w:rsid w:val="444204EB"/>
    <w:rsid w:val="44665932"/>
    <w:rsid w:val="447605CC"/>
    <w:rsid w:val="44C87908"/>
    <w:rsid w:val="45735CD8"/>
    <w:rsid w:val="45BF7A33"/>
    <w:rsid w:val="45C24070"/>
    <w:rsid w:val="46485B91"/>
    <w:rsid w:val="46C11CDC"/>
    <w:rsid w:val="46F17216"/>
    <w:rsid w:val="47B35F50"/>
    <w:rsid w:val="47C63EA3"/>
    <w:rsid w:val="47F670BB"/>
    <w:rsid w:val="4877104C"/>
    <w:rsid w:val="49195077"/>
    <w:rsid w:val="4A177FD9"/>
    <w:rsid w:val="4A270850"/>
    <w:rsid w:val="4A5F31D6"/>
    <w:rsid w:val="4AE24A4C"/>
    <w:rsid w:val="4B7B4D72"/>
    <w:rsid w:val="4B9F1998"/>
    <w:rsid w:val="4BFA106D"/>
    <w:rsid w:val="4C41120C"/>
    <w:rsid w:val="4C5638DD"/>
    <w:rsid w:val="4C5A5B5E"/>
    <w:rsid w:val="4CE57760"/>
    <w:rsid w:val="4DF242A9"/>
    <w:rsid w:val="4E591117"/>
    <w:rsid w:val="4EB2348E"/>
    <w:rsid w:val="4EBC3616"/>
    <w:rsid w:val="4F0E1B95"/>
    <w:rsid w:val="4F2E6B6B"/>
    <w:rsid w:val="5122582E"/>
    <w:rsid w:val="513106A6"/>
    <w:rsid w:val="515264A1"/>
    <w:rsid w:val="51DE53FC"/>
    <w:rsid w:val="521E1B1D"/>
    <w:rsid w:val="52702AC2"/>
    <w:rsid w:val="52833DFF"/>
    <w:rsid w:val="53CE6506"/>
    <w:rsid w:val="53D34275"/>
    <w:rsid w:val="54AC0835"/>
    <w:rsid w:val="54DD7EDE"/>
    <w:rsid w:val="56621195"/>
    <w:rsid w:val="56A555D2"/>
    <w:rsid w:val="56B0235D"/>
    <w:rsid w:val="56B60143"/>
    <w:rsid w:val="56B81102"/>
    <w:rsid w:val="56DA5C55"/>
    <w:rsid w:val="575203E6"/>
    <w:rsid w:val="57AA39EE"/>
    <w:rsid w:val="5915522A"/>
    <w:rsid w:val="59AC2A9A"/>
    <w:rsid w:val="5A296085"/>
    <w:rsid w:val="5BB53F0D"/>
    <w:rsid w:val="5BFA66E2"/>
    <w:rsid w:val="5C231BCF"/>
    <w:rsid w:val="5C58408E"/>
    <w:rsid w:val="5CA5307E"/>
    <w:rsid w:val="5CDF041E"/>
    <w:rsid w:val="5DBA0DE6"/>
    <w:rsid w:val="5DDB3502"/>
    <w:rsid w:val="5E1C535F"/>
    <w:rsid w:val="5E83307E"/>
    <w:rsid w:val="5EF23585"/>
    <w:rsid w:val="5F457893"/>
    <w:rsid w:val="5F762C34"/>
    <w:rsid w:val="5FFA259D"/>
    <w:rsid w:val="603D67D1"/>
    <w:rsid w:val="60BB3228"/>
    <w:rsid w:val="60F53FC2"/>
    <w:rsid w:val="616031AE"/>
    <w:rsid w:val="622141B0"/>
    <w:rsid w:val="62420204"/>
    <w:rsid w:val="63965759"/>
    <w:rsid w:val="63AA5CB0"/>
    <w:rsid w:val="63B93F21"/>
    <w:rsid w:val="6496768C"/>
    <w:rsid w:val="65927AD4"/>
    <w:rsid w:val="65EA6FA3"/>
    <w:rsid w:val="65F25F4E"/>
    <w:rsid w:val="667A468E"/>
    <w:rsid w:val="66CB633D"/>
    <w:rsid w:val="66EE58F5"/>
    <w:rsid w:val="67082085"/>
    <w:rsid w:val="67227D88"/>
    <w:rsid w:val="6923251F"/>
    <w:rsid w:val="69727D32"/>
    <w:rsid w:val="69811F3C"/>
    <w:rsid w:val="6A5B3A8D"/>
    <w:rsid w:val="6AF1460B"/>
    <w:rsid w:val="6BCF066A"/>
    <w:rsid w:val="6D0A5A45"/>
    <w:rsid w:val="6E466162"/>
    <w:rsid w:val="6F6B7526"/>
    <w:rsid w:val="6F9A3BAD"/>
    <w:rsid w:val="6FCD2862"/>
    <w:rsid w:val="70DA0CC3"/>
    <w:rsid w:val="70E77DC5"/>
    <w:rsid w:val="710920F4"/>
    <w:rsid w:val="71B53844"/>
    <w:rsid w:val="71F00A60"/>
    <w:rsid w:val="72B80EF1"/>
    <w:rsid w:val="72BC2902"/>
    <w:rsid w:val="73880099"/>
    <w:rsid w:val="73D75D5A"/>
    <w:rsid w:val="74764D0F"/>
    <w:rsid w:val="758D4A10"/>
    <w:rsid w:val="75D36A62"/>
    <w:rsid w:val="75E0437C"/>
    <w:rsid w:val="77AA6873"/>
    <w:rsid w:val="77DE237B"/>
    <w:rsid w:val="79C6221A"/>
    <w:rsid w:val="79DC01FD"/>
    <w:rsid w:val="79E13E9F"/>
    <w:rsid w:val="7A41652D"/>
    <w:rsid w:val="7ACB396D"/>
    <w:rsid w:val="7B27140C"/>
    <w:rsid w:val="7BDF7A9D"/>
    <w:rsid w:val="7C5F70AA"/>
    <w:rsid w:val="7D3C6D19"/>
    <w:rsid w:val="7D5B5367"/>
    <w:rsid w:val="7E2D11DE"/>
    <w:rsid w:val="7EBF3E89"/>
    <w:rsid w:val="7FC50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2026-04-15T02:43:00Z</dcterms:created>
  <dc:creator>hwongisa</dc:creator>
  <cp:lastModifiedBy>hwongisa</cp:lastModifiedBy>
  <dcterms:modified xsi:type="dcterms:W3CDTF">2026-04-15T03:00:05Z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00BC2A51B80B40FEBBB6E22AEF7B09D9_11</vt:lpwstr>
  </property>
  <property fmtid="{D5CDD505-2E9C-101B-9397-08002B2CF9AE}" pid="4" name="KSOTemplateDocerSaveRecord">
    <vt:lpwstr>eyJoZGlkIjoiOTY5MmJmZDY4ZjdmYzQ5YzdjOTZhZGU2ZTRmNTA5NzUiLCJ1c2VySWQiOiIyOTE0NTUwMjcifQ==</vt:lpwstr>
  </property>
</Properties>
</file>