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ptos" w:hAnsi="Aptos" w:eastAsia="Aptos"/>
          <w:b/>
          <w:color w:val="17324D"/>
          <w:sz w:val="48"/>
        </w:rPr>
        <w:t>LEEN ALHAMAMI</w:t>
      </w:r>
    </w:p>
    <w:p>
      <w:pPr>
        <w:spacing w:after="80"/>
        <w:pBdr>
          <w:bottom w:val="single" w:sz="9" w:space="4" w:color="2B6F75"/>
        </w:pBdr>
      </w:pPr>
      <w:r>
        <w:rPr>
          <w:rFonts w:ascii="Aptos" w:hAnsi="Aptos" w:eastAsia="Aptos"/>
          <w:b/>
          <w:color w:val="2B6F75"/>
          <w:sz w:val="20"/>
        </w:rPr>
        <w:t>COMMUNITY-FOCUSED PROFESSIONAL</w:t>
      </w:r>
    </w:p>
    <w:p>
      <w:pPr>
        <w:spacing w:after="100"/>
        <w:jc w:val="left"/>
      </w:pPr>
      <w:r>
        <w:rPr>
          <w:rFonts w:ascii="Aptos" w:hAnsi="Aptos" w:eastAsia="Aptos"/>
          <w:b w:val="0"/>
          <w:color w:val="4B5563"/>
          <w:sz w:val="18"/>
        </w:rPr>
        <w:t>Damascus, Syria</w:t>
      </w:r>
      <w:r>
        <w:rPr>
          <w:rFonts w:ascii="Aptos" w:hAnsi="Aptos" w:eastAsia="Aptos"/>
          <w:b w:val="0"/>
          <w:color w:val="4B5563"/>
          <w:sz w:val="18"/>
        </w:rPr>
        <w:t xml:space="preserve">  |  </w:t>
      </w:r>
      <w:r>
        <w:rPr>
          <w:rFonts w:ascii="Aptos" w:hAnsi="Aptos" w:eastAsia="Aptos"/>
          <w:b w:val="0"/>
          <w:color w:val="4B5563"/>
          <w:sz w:val="18"/>
        </w:rPr>
        <w:t>+963 935 157 005</w:t>
      </w:r>
      <w:r>
        <w:rPr>
          <w:rFonts w:ascii="Aptos" w:hAnsi="Aptos" w:eastAsia="Aptos"/>
          <w:b w:val="0"/>
          <w:color w:val="4B5563"/>
          <w:sz w:val="18"/>
        </w:rPr>
        <w:t xml:space="preserve">  |  </w:t>
      </w:r>
      <w:r>
        <w:rPr>
          <w:rFonts w:ascii="Aptos" w:hAnsi="Aptos" w:eastAsia="Aptos"/>
          <w:b w:val="0"/>
          <w:color w:val="4B5563"/>
          <w:sz w:val="18"/>
        </w:rPr>
        <w:t>leenalhamami65@gmail.com</w:t>
      </w:r>
    </w:p>
    <w:p>
      <w:pPr>
        <w:pStyle w:val="CVSection"/>
        <w:pBdr>
          <w:bottom w:val="single" w:sz="5" w:space="2" w:color="D7E0E8"/>
        </w:pBdr>
      </w:pPr>
      <w:r>
        <w:t>Professional Profile</w:t>
      </w:r>
    </w:p>
    <w:p>
      <w:pPr>
        <w:spacing w:after="60" w:line="259" w:lineRule="auto"/>
      </w:pPr>
      <w:r>
        <w:rPr>
          <w:rFonts w:ascii="Aptos" w:hAnsi="Aptos" w:eastAsia="Aptos"/>
          <w:color w:val="1F2937"/>
          <w:sz w:val="19"/>
        </w:rPr>
        <w:t>Early-career professional with experience in education, supervision, technical support, and UNDP-supported community initiatives. Native Arabic speaker with excellent English and strong communication, organization, problem-solving, and teamwork skills. Seeking to contribute as a Protection Monitoring Assistant by applying careful documentation, respectful community engagement, and a commitment to dignity, confidentiality, non-discrimination, and continuous learning in humanitarian protection work.</w:t>
      </w:r>
    </w:p>
    <w:p>
      <w:pPr>
        <w:pStyle w:val="CVSection"/>
        <w:pBdr>
          <w:bottom w:val="single" w:sz="5" w:space="2" w:color="D7E0E8"/>
        </w:pBdr>
      </w:pPr>
      <w:r>
        <w:t>Core Competencies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D7E0E8"/>
          <w:left w:val="single" w:sz="3" w:color="D7E0E8"/>
          <w:bottom w:val="single" w:sz="3" w:color="D7E0E8"/>
          <w:right w:val="single" w:sz="3" w:color="D7E0E8"/>
          <w:insideH w:val="single" w:sz="3" w:color="D7E0E8"/>
          <w:insideV w:val="single" w:sz="3" w:color="D7E0E8"/>
        </w:tblBorders>
      </w:tblPr>
      <w:tblGrid>
        <w:gridCol w:w="2537"/>
        <w:gridCol w:w="2537"/>
        <w:gridCol w:w="2537"/>
        <w:gridCol w:w="2537"/>
      </w:tblGrid>
      <w:tr>
        <w:trPr>
          <w:cantSplit/>
        </w:trPr>
        <w:tc>
          <w:tcPr>
            <w:tcW w:type="dxa" w:w="2438"/>
            <w:tcMar>
              <w:top w:w="70" w:type="dxa"/>
              <w:start w:w="85" w:type="dxa"/>
              <w:bottom w:w="70" w:type="dxa"/>
              <w:end w:w="85" w:type="dxa"/>
            </w:tcMar>
            <w:shd w:fill="F4F7F9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4B5563"/>
                <w:sz w:val="17"/>
              </w:rPr>
              <w:t>Respectful communication</w:t>
            </w:r>
          </w:p>
        </w:tc>
        <w:tc>
          <w:tcPr>
            <w:tcW w:type="dxa" w:w="2438"/>
            <w:tcMar>
              <w:top w:w="70" w:type="dxa"/>
              <w:start w:w="85" w:type="dxa"/>
              <w:bottom w:w="70" w:type="dxa"/>
              <w:end w:w="85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4B5563"/>
                <w:sz w:val="17"/>
              </w:rPr>
              <w:t>Community engagement</w:t>
            </w:r>
          </w:p>
        </w:tc>
        <w:tc>
          <w:tcPr>
            <w:tcW w:type="dxa" w:w="2438"/>
            <w:tcMar>
              <w:top w:w="70" w:type="dxa"/>
              <w:start w:w="85" w:type="dxa"/>
              <w:bottom w:w="70" w:type="dxa"/>
              <w:end w:w="85" w:type="dxa"/>
            </w:tcMar>
            <w:shd w:fill="F4F7F9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4B5563"/>
                <w:sz w:val="17"/>
              </w:rPr>
              <w:t>Team coordination</w:t>
            </w:r>
          </w:p>
        </w:tc>
        <w:tc>
          <w:tcPr>
            <w:tcW w:type="dxa" w:w="2438"/>
            <w:tcMar>
              <w:top w:w="70" w:type="dxa"/>
              <w:start w:w="85" w:type="dxa"/>
              <w:bottom w:w="70" w:type="dxa"/>
              <w:end w:w="85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4B5563"/>
                <w:sz w:val="17"/>
              </w:rPr>
              <w:t>Documentation &amp; follow-up</w:t>
            </w:r>
          </w:p>
        </w:tc>
      </w:tr>
      <w:tr>
        <w:trPr>
          <w:cantSplit/>
        </w:trPr>
        <w:tc>
          <w:tcPr>
            <w:tcW w:type="dxa" w:w="2438"/>
            <w:tcMar>
              <w:top w:w="70" w:type="dxa"/>
              <w:start w:w="85" w:type="dxa"/>
              <w:bottom w:w="70" w:type="dxa"/>
              <w:end w:w="85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4B5563"/>
                <w:sz w:val="17"/>
              </w:rPr>
              <w:t>Confidentiality &amp; dignity</w:t>
            </w:r>
          </w:p>
        </w:tc>
        <w:tc>
          <w:tcPr>
            <w:tcW w:type="dxa" w:w="2438"/>
            <w:tcMar>
              <w:top w:w="70" w:type="dxa"/>
              <w:start w:w="85" w:type="dxa"/>
              <w:bottom w:w="70" w:type="dxa"/>
              <w:end w:w="85" w:type="dxa"/>
            </w:tcMar>
            <w:shd w:fill="F4F7F9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4B5563"/>
                <w:sz w:val="17"/>
              </w:rPr>
              <w:t>Time &amp; task management</w:t>
            </w:r>
          </w:p>
        </w:tc>
        <w:tc>
          <w:tcPr>
            <w:tcW w:type="dxa" w:w="2438"/>
            <w:tcMar>
              <w:top w:w="70" w:type="dxa"/>
              <w:start w:w="85" w:type="dxa"/>
              <w:bottom w:w="70" w:type="dxa"/>
              <w:end w:w="85" w:type="dxa"/>
            </w:tcMar>
            <w:shd w:fill="FFFFFF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4B5563"/>
                <w:sz w:val="17"/>
              </w:rPr>
              <w:t>Microsoft Office</w:t>
            </w:r>
          </w:p>
        </w:tc>
        <w:tc>
          <w:tcPr>
            <w:tcW w:type="dxa" w:w="2438"/>
            <w:tcMar>
              <w:top w:w="70" w:type="dxa"/>
              <w:start w:w="85" w:type="dxa"/>
              <w:bottom w:w="70" w:type="dxa"/>
              <w:end w:w="85" w:type="dxa"/>
            </w:tcMar>
            <w:shd w:fill="F4F7F9"/>
          </w:tcPr>
          <w:p>
            <w:pPr>
              <w:spacing w:after="0"/>
              <w:jc w:val="center"/>
            </w:pPr>
            <w:r>
              <w:rPr>
                <w:rFonts w:ascii="Aptos" w:hAnsi="Aptos" w:eastAsia="Aptos"/>
                <w:b/>
                <w:color w:val="4B5563"/>
                <w:sz w:val="17"/>
              </w:rPr>
              <w:t>Arabic–English communication</w:t>
            </w:r>
          </w:p>
        </w:tc>
      </w:tr>
    </w:tbl>
    <w:p>
      <w:pPr>
        <w:pStyle w:val="CVSection"/>
        <w:pBdr>
          <w:bottom w:val="single" w:sz="5" w:space="2" w:color="D7E0E8"/>
        </w:pBdr>
      </w:pPr>
      <w:r>
        <w:t>Professional Experience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654"/>
        <w:gridCol w:w="2268"/>
      </w:tblGrid>
      <w:tr>
        <w:trPr>
          <w:cantSplit/>
        </w:trPr>
        <w:tc>
          <w:tcPr>
            <w:tcW w:type="dxa" w:w="5074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Aptos" w:hAnsi="Aptos" w:eastAsia="Aptos"/>
                <w:b/>
                <w:color w:val="1F2937"/>
                <w:sz w:val="20"/>
              </w:rPr>
              <w:t>Supervisor</w:t>
            </w:r>
            <w:r>
              <w:rPr>
                <w:rFonts w:ascii="Aptos" w:hAnsi="Aptos" w:eastAsia="Aptos"/>
                <w:b/>
                <w:color w:val="2B6F75"/>
                <w:sz w:val="19"/>
              </w:rPr>
              <w:t xml:space="preserve">  |  Golden Steps School</w:t>
            </w:r>
          </w:p>
        </w:tc>
        <w:tc>
          <w:tcPr>
            <w:tcW w:type="dxa" w:w="5074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keepNext/>
              <w:spacing w:after="0"/>
              <w:jc w:val="right"/>
            </w:pPr>
            <w:r>
              <w:rPr>
                <w:rFonts w:ascii="Aptos" w:hAnsi="Aptos" w:eastAsia="Aptos"/>
                <w:b/>
                <w:color w:val="667085"/>
                <w:sz w:val="18"/>
              </w:rPr>
              <w:t>2025–Present</w:t>
            </w:r>
          </w:p>
        </w:tc>
      </w:tr>
    </w:tbl>
    <w:p>
      <w:pPr>
        <w:pStyle w:val="CVBullet"/>
        <w:spacing w:after="25"/>
      </w:pPr>
      <w:r>
        <w:rPr>
          <w:rFonts w:ascii="Aptos" w:hAnsi="Aptos" w:eastAsia="Aptos"/>
          <w:b/>
          <w:color w:val="2B6F75"/>
          <w:sz w:val="19"/>
        </w:rPr>
        <w:t xml:space="preserve">•  </w:t>
      </w:r>
      <w:r>
        <w:rPr>
          <w:rFonts w:ascii="Aptos" w:hAnsi="Aptos" w:eastAsia="Aptos"/>
          <w:color w:val="1F2937"/>
          <w:sz w:val="19"/>
        </w:rPr>
        <w:t>Support daily supervision and coordination in a school setting, helping maintain organized and respectful interactions with students and colleagues.</w:t>
      </w:r>
    </w:p>
    <w:p>
      <w:pPr>
        <w:pStyle w:val="CVBullet"/>
        <w:spacing w:after="25"/>
      </w:pPr>
      <w:r>
        <w:rPr>
          <w:rFonts w:ascii="Aptos" w:hAnsi="Aptos" w:eastAsia="Aptos"/>
          <w:b/>
          <w:color w:val="2B6F75"/>
          <w:sz w:val="19"/>
        </w:rPr>
        <w:t xml:space="preserve">•  </w:t>
      </w:r>
      <w:r>
        <w:rPr>
          <w:rFonts w:ascii="Aptos" w:hAnsi="Aptos" w:eastAsia="Aptos"/>
          <w:color w:val="1F2937"/>
          <w:sz w:val="19"/>
        </w:rPr>
        <w:t>Manage competing responsibilities, respond calmly to routine issues, and follow up to keep activities on schedule.</w:t>
      </w:r>
    </w:p>
    <w:p>
      <w:pPr>
        <w:pStyle w:val="CVBullet"/>
        <w:spacing w:after="25"/>
      </w:pPr>
      <w:r>
        <w:rPr>
          <w:rFonts w:ascii="Aptos" w:hAnsi="Aptos" w:eastAsia="Aptos"/>
          <w:b/>
          <w:color w:val="2B6F75"/>
          <w:sz w:val="19"/>
        </w:rPr>
        <w:t xml:space="preserve">•  </w:t>
      </w:r>
      <w:r>
        <w:rPr>
          <w:rFonts w:ascii="Aptos" w:hAnsi="Aptos" w:eastAsia="Aptos"/>
          <w:color w:val="1F2937"/>
          <w:sz w:val="19"/>
        </w:rPr>
        <w:t>Communicate instructions clearly and contribute to a cooperative working environment.</w:t>
      </w:r>
    </w:p>
    <w:p>
      <w:pPr>
        <w:spacing w:after="10" w:line="84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654"/>
        <w:gridCol w:w="2268"/>
      </w:tblGrid>
      <w:tr>
        <w:trPr>
          <w:cantSplit/>
        </w:trPr>
        <w:tc>
          <w:tcPr>
            <w:tcW w:type="dxa" w:w="5074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Aptos" w:hAnsi="Aptos" w:eastAsia="Aptos"/>
                <w:b/>
                <w:color w:val="1F2937"/>
                <w:sz w:val="20"/>
              </w:rPr>
              <w:t>Technical Support</w:t>
            </w:r>
            <w:r>
              <w:rPr>
                <w:rFonts w:ascii="Aptos" w:hAnsi="Aptos" w:eastAsia="Aptos"/>
                <w:b/>
                <w:color w:val="2B6F75"/>
                <w:sz w:val="19"/>
              </w:rPr>
              <w:t xml:space="preserve">  |  Learning Go Company</w:t>
            </w:r>
          </w:p>
        </w:tc>
        <w:tc>
          <w:tcPr>
            <w:tcW w:type="dxa" w:w="5074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keepNext/>
              <w:spacing w:after="0"/>
              <w:jc w:val="right"/>
            </w:pPr>
            <w:r>
              <w:rPr>
                <w:rFonts w:ascii="Aptos" w:hAnsi="Aptos" w:eastAsia="Aptos"/>
                <w:b/>
                <w:color w:val="667085"/>
                <w:sz w:val="18"/>
              </w:rPr>
              <w:t>2026–Present</w:t>
            </w:r>
          </w:p>
        </w:tc>
      </w:tr>
    </w:tbl>
    <w:p>
      <w:pPr>
        <w:pStyle w:val="CVBullet"/>
        <w:spacing w:after="25"/>
      </w:pPr>
      <w:r>
        <w:rPr>
          <w:rFonts w:ascii="Aptos" w:hAnsi="Aptos" w:eastAsia="Aptos"/>
          <w:b/>
          <w:color w:val="2B6F75"/>
          <w:sz w:val="19"/>
        </w:rPr>
        <w:t xml:space="preserve">•  </w:t>
      </w:r>
      <w:r>
        <w:rPr>
          <w:rFonts w:ascii="Aptos" w:hAnsi="Aptos" w:eastAsia="Aptos"/>
          <w:color w:val="1F2937"/>
          <w:sz w:val="19"/>
        </w:rPr>
        <w:t>Provide user-focused technical support by listening carefully, identifying issues, explaining solutions clearly, and following up on requests.</w:t>
      </w:r>
    </w:p>
    <w:p>
      <w:pPr>
        <w:pStyle w:val="CVBullet"/>
        <w:spacing w:after="25"/>
      </w:pPr>
      <w:r>
        <w:rPr>
          <w:rFonts w:ascii="Aptos" w:hAnsi="Aptos" w:eastAsia="Aptos"/>
          <w:b/>
          <w:color w:val="2B6F75"/>
          <w:sz w:val="19"/>
        </w:rPr>
        <w:t xml:space="preserve">•  </w:t>
      </w:r>
      <w:r>
        <w:rPr>
          <w:rFonts w:ascii="Aptos" w:hAnsi="Aptos" w:eastAsia="Aptos"/>
          <w:color w:val="1F2937"/>
          <w:sz w:val="19"/>
        </w:rPr>
        <w:t>Coordinate with colleagues when issues require additional support while maintaining attention to detail.</w:t>
      </w:r>
    </w:p>
    <w:p>
      <w:pPr>
        <w:spacing w:after="10" w:line="84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654"/>
        <w:gridCol w:w="2268"/>
      </w:tblGrid>
      <w:tr>
        <w:trPr>
          <w:cantSplit/>
        </w:trPr>
        <w:tc>
          <w:tcPr>
            <w:tcW w:type="dxa" w:w="5074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Aptos" w:hAnsi="Aptos" w:eastAsia="Aptos"/>
                <w:b/>
                <w:color w:val="1F2937"/>
                <w:sz w:val="20"/>
              </w:rPr>
              <w:t>English Language Teacher</w:t>
            </w:r>
            <w:r>
              <w:rPr>
                <w:rFonts w:ascii="Aptos" w:hAnsi="Aptos" w:eastAsia="Aptos"/>
                <w:b/>
                <w:color w:val="2B6F75"/>
                <w:sz w:val="19"/>
              </w:rPr>
              <w:t xml:space="preserve">  |  Lingua Zone</w:t>
            </w:r>
          </w:p>
        </w:tc>
        <w:tc>
          <w:tcPr>
            <w:tcW w:type="dxa" w:w="5074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keepNext/>
              <w:spacing w:after="0"/>
              <w:jc w:val="right"/>
            </w:pPr>
            <w:r>
              <w:rPr>
                <w:rFonts w:ascii="Aptos" w:hAnsi="Aptos" w:eastAsia="Aptos"/>
                <w:b/>
                <w:color w:val="667085"/>
                <w:sz w:val="18"/>
              </w:rPr>
              <w:t>2025–Present</w:t>
            </w:r>
          </w:p>
        </w:tc>
      </w:tr>
    </w:tbl>
    <w:p>
      <w:pPr>
        <w:pStyle w:val="CVBullet"/>
        <w:spacing w:after="25"/>
      </w:pPr>
      <w:r>
        <w:rPr>
          <w:rFonts w:ascii="Aptos" w:hAnsi="Aptos" w:eastAsia="Aptos"/>
          <w:b/>
          <w:color w:val="2B6F75"/>
          <w:sz w:val="19"/>
        </w:rPr>
        <w:t xml:space="preserve">•  </w:t>
      </w:r>
      <w:r>
        <w:rPr>
          <w:rFonts w:ascii="Aptos" w:hAnsi="Aptos" w:eastAsia="Aptos"/>
          <w:color w:val="1F2937"/>
          <w:sz w:val="19"/>
        </w:rPr>
        <w:t>Plan and deliver English lessons adapted to learners’ levels and needs.</w:t>
      </w:r>
    </w:p>
    <w:p>
      <w:pPr>
        <w:pStyle w:val="CVBullet"/>
        <w:spacing w:after="25"/>
      </w:pPr>
      <w:r>
        <w:rPr>
          <w:rFonts w:ascii="Aptos" w:hAnsi="Aptos" w:eastAsia="Aptos"/>
          <w:b/>
          <w:color w:val="2B6F75"/>
          <w:sz w:val="19"/>
        </w:rPr>
        <w:t xml:space="preserve">•  </w:t>
      </w:r>
      <w:r>
        <w:rPr>
          <w:rFonts w:ascii="Aptos" w:hAnsi="Aptos" w:eastAsia="Aptos"/>
          <w:color w:val="1F2937"/>
          <w:sz w:val="19"/>
        </w:rPr>
        <w:t>Monitor learner progress, provide constructive feedback, and maintain organized teaching materials and schedules.</w:t>
      </w:r>
    </w:p>
    <w:p>
      <w:pPr>
        <w:spacing w:after="10" w:line="84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654"/>
        <w:gridCol w:w="2268"/>
      </w:tblGrid>
      <w:tr>
        <w:trPr>
          <w:cantSplit/>
        </w:trPr>
        <w:tc>
          <w:tcPr>
            <w:tcW w:type="dxa" w:w="5074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Aptos" w:hAnsi="Aptos" w:eastAsia="Aptos"/>
                <w:b/>
                <w:color w:val="1F2937"/>
                <w:sz w:val="20"/>
              </w:rPr>
              <w:t>English Teacher</w:t>
            </w:r>
            <w:r>
              <w:rPr>
                <w:rFonts w:ascii="Aptos" w:hAnsi="Aptos" w:eastAsia="Aptos"/>
                <w:b/>
                <w:color w:val="2B6F75"/>
                <w:sz w:val="19"/>
              </w:rPr>
              <w:t xml:space="preserve">  |  Golden Steps School</w:t>
            </w:r>
          </w:p>
        </w:tc>
        <w:tc>
          <w:tcPr>
            <w:tcW w:type="dxa" w:w="5074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keepNext/>
              <w:spacing w:after="0"/>
              <w:jc w:val="right"/>
            </w:pPr>
            <w:r>
              <w:rPr>
                <w:rFonts w:ascii="Aptos" w:hAnsi="Aptos" w:eastAsia="Aptos"/>
                <w:b/>
                <w:color w:val="667085"/>
                <w:sz w:val="18"/>
              </w:rPr>
              <w:t>2024–2026</w:t>
            </w:r>
          </w:p>
        </w:tc>
      </w:tr>
    </w:tbl>
    <w:p>
      <w:pPr>
        <w:pStyle w:val="CVBullet"/>
        <w:spacing w:after="25"/>
      </w:pPr>
      <w:r>
        <w:rPr>
          <w:rFonts w:ascii="Aptos" w:hAnsi="Aptos" w:eastAsia="Aptos"/>
          <w:b/>
          <w:color w:val="2B6F75"/>
          <w:sz w:val="19"/>
        </w:rPr>
        <w:t xml:space="preserve">•  </w:t>
      </w:r>
      <w:r>
        <w:rPr>
          <w:rFonts w:ascii="Aptos" w:hAnsi="Aptos" w:eastAsia="Aptos"/>
          <w:color w:val="1F2937"/>
          <w:sz w:val="19"/>
        </w:rPr>
        <w:t>Delivered structured lessons, encouraged participation, and managed classroom activities in a respectful learning environment.</w:t>
      </w:r>
    </w:p>
    <w:p>
      <w:pPr>
        <w:pStyle w:val="CVBullet"/>
        <w:spacing w:after="25"/>
      </w:pPr>
      <w:r>
        <w:rPr>
          <w:rFonts w:ascii="Aptos" w:hAnsi="Aptos" w:eastAsia="Aptos"/>
          <w:b/>
          <w:color w:val="2B6F75"/>
          <w:sz w:val="19"/>
        </w:rPr>
        <w:t xml:space="preserve">•  </w:t>
      </w:r>
      <w:r>
        <w:rPr>
          <w:rFonts w:ascii="Aptos" w:hAnsi="Aptos" w:eastAsia="Aptos"/>
          <w:color w:val="1F2937"/>
          <w:sz w:val="19"/>
        </w:rPr>
        <w:t>Worked with colleagues to support student engagement and consistent learning outcomes.</w:t>
      </w:r>
    </w:p>
    <w:p>
      <w:pPr>
        <w:spacing w:after="10" w:line="84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654"/>
        <w:gridCol w:w="2268"/>
      </w:tblGrid>
      <w:tr>
        <w:trPr>
          <w:cantSplit/>
        </w:trPr>
        <w:tc>
          <w:tcPr>
            <w:tcW w:type="dxa" w:w="5074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Aptos" w:hAnsi="Aptos" w:eastAsia="Aptos"/>
                <w:b/>
                <w:color w:val="1F2937"/>
                <w:sz w:val="20"/>
              </w:rPr>
              <w:t>Private English Tutor</w:t>
            </w:r>
            <w:r>
              <w:rPr>
                <w:rFonts w:ascii="Aptos" w:hAnsi="Aptos" w:eastAsia="Aptos"/>
                <w:b/>
                <w:color w:val="2B6F75"/>
                <w:sz w:val="19"/>
              </w:rPr>
              <w:t xml:space="preserve">  |  Self-employed</w:t>
            </w:r>
          </w:p>
        </w:tc>
        <w:tc>
          <w:tcPr>
            <w:tcW w:type="dxa" w:w="5074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keepNext/>
              <w:spacing w:after="0"/>
              <w:jc w:val="right"/>
            </w:pPr>
            <w:r>
              <w:rPr>
                <w:rFonts w:ascii="Aptos" w:hAnsi="Aptos" w:eastAsia="Aptos"/>
                <w:b/>
                <w:color w:val="667085"/>
                <w:sz w:val="18"/>
              </w:rPr>
              <w:t>2024–Present</w:t>
            </w:r>
          </w:p>
        </w:tc>
      </w:tr>
    </w:tbl>
    <w:p>
      <w:pPr>
        <w:pStyle w:val="CVBullet"/>
        <w:spacing w:after="25"/>
      </w:pPr>
      <w:r>
        <w:rPr>
          <w:rFonts w:ascii="Aptos" w:hAnsi="Aptos" w:eastAsia="Aptos"/>
          <w:b/>
          <w:color w:val="2B6F75"/>
          <w:sz w:val="19"/>
        </w:rPr>
        <w:t xml:space="preserve">•  </w:t>
      </w:r>
      <w:r>
        <w:rPr>
          <w:rFonts w:ascii="Aptos" w:hAnsi="Aptos" w:eastAsia="Aptos"/>
          <w:color w:val="1F2937"/>
          <w:sz w:val="19"/>
        </w:rPr>
        <w:t>Prepare individualized lessons, adapt explanations to different learning needs, and manage appointments and deadlines independently.</w:t>
      </w:r>
    </w:p>
    <w:p>
      <w:pPr>
        <w:spacing w:after="10" w:line="84" w:lineRule="auto"/>
      </w:pPr>
    </w:p>
    <w:p>
      <w:pPr>
        <w:pStyle w:val="CVSection"/>
        <w:pBdr>
          <w:bottom w:val="single" w:sz="5" w:space="2" w:color="D7E0E8"/>
        </w:pBdr>
      </w:pPr>
      <w:r>
        <w:t>Community &amp; Development Experience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654"/>
        <w:gridCol w:w="2268"/>
      </w:tblGrid>
      <w:tr>
        <w:trPr>
          <w:cantSplit/>
        </w:trPr>
        <w:tc>
          <w:tcPr>
            <w:tcW w:type="dxa" w:w="5074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Aptos" w:hAnsi="Aptos" w:eastAsia="Aptos"/>
                <w:b/>
                <w:color w:val="1F2937"/>
                <w:sz w:val="20"/>
              </w:rPr>
              <w:t>Volunteer</w:t>
            </w:r>
            <w:r>
              <w:rPr>
                <w:rFonts w:ascii="Aptos" w:hAnsi="Aptos" w:eastAsia="Aptos"/>
                <w:b/>
                <w:color w:val="2B6F75"/>
                <w:sz w:val="19"/>
              </w:rPr>
              <w:t xml:space="preserve">  |  UNDP REEF UP Project</w:t>
            </w:r>
          </w:p>
        </w:tc>
        <w:tc>
          <w:tcPr>
            <w:tcW w:type="dxa" w:w="5074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keepNext/>
              <w:spacing w:after="0"/>
              <w:jc w:val="right"/>
            </w:pPr>
            <w:r>
              <w:rPr>
                <w:rFonts w:ascii="Aptos" w:hAnsi="Aptos" w:eastAsia="Aptos"/>
                <w:b/>
                <w:color w:val="667085"/>
                <w:sz w:val="18"/>
              </w:rPr>
              <w:t>2021</w:t>
            </w:r>
          </w:p>
        </w:tc>
      </w:tr>
    </w:tbl>
    <w:p>
      <w:pPr>
        <w:pStyle w:val="CVBullet"/>
        <w:spacing w:after="25"/>
      </w:pPr>
      <w:r>
        <w:rPr>
          <w:rFonts w:ascii="Aptos" w:hAnsi="Aptos" w:eastAsia="Aptos"/>
          <w:b/>
          <w:color w:val="2B6F75"/>
          <w:sz w:val="19"/>
        </w:rPr>
        <w:t xml:space="preserve">•  </w:t>
      </w:r>
      <w:r>
        <w:rPr>
          <w:rFonts w:ascii="Aptos" w:hAnsi="Aptos" w:eastAsia="Aptos"/>
          <w:color w:val="1F2937"/>
          <w:sz w:val="19"/>
        </w:rPr>
        <w:t>Participated as a volunteer in a UNDP-supported community initiative.</w:t>
      </w:r>
    </w:p>
    <w:p>
      <w:pPr>
        <w:spacing w:after="10" w:line="84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654"/>
        <w:gridCol w:w="2268"/>
      </w:tblGrid>
      <w:tr>
        <w:trPr>
          <w:cantSplit/>
        </w:trPr>
        <w:tc>
          <w:tcPr>
            <w:tcW w:type="dxa" w:w="5074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Aptos" w:hAnsi="Aptos" w:eastAsia="Aptos"/>
                <w:b/>
                <w:color w:val="1F2937"/>
                <w:sz w:val="20"/>
              </w:rPr>
              <w:t>Trainee</w:t>
            </w:r>
            <w:r>
              <w:rPr>
                <w:rFonts w:ascii="Aptos" w:hAnsi="Aptos" w:eastAsia="Aptos"/>
                <w:b/>
                <w:color w:val="2B6F75"/>
                <w:sz w:val="19"/>
              </w:rPr>
              <w:t xml:space="preserve">  |  UNDP Souk Sarouja Project</w:t>
            </w:r>
          </w:p>
        </w:tc>
        <w:tc>
          <w:tcPr>
            <w:tcW w:type="dxa" w:w="5074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keepNext/>
              <w:spacing w:after="0"/>
              <w:jc w:val="right"/>
            </w:pPr>
            <w:r>
              <w:rPr>
                <w:rFonts w:ascii="Aptos" w:hAnsi="Aptos" w:eastAsia="Aptos"/>
                <w:b/>
                <w:color w:val="667085"/>
                <w:sz w:val="18"/>
              </w:rPr>
              <w:t>2022</w:t>
            </w:r>
          </w:p>
        </w:tc>
      </w:tr>
    </w:tbl>
    <w:p>
      <w:pPr>
        <w:pStyle w:val="CVBullet"/>
        <w:spacing w:after="25"/>
      </w:pPr>
      <w:r>
        <w:rPr>
          <w:rFonts w:ascii="Aptos" w:hAnsi="Aptos" w:eastAsia="Aptos"/>
          <w:b/>
          <w:color w:val="2B6F75"/>
          <w:sz w:val="19"/>
        </w:rPr>
        <w:t xml:space="preserve">•  </w:t>
      </w:r>
      <w:r>
        <w:rPr>
          <w:rFonts w:ascii="Aptos" w:hAnsi="Aptos" w:eastAsia="Aptos"/>
          <w:color w:val="1F2937"/>
          <w:sz w:val="19"/>
        </w:rPr>
        <w:t>Completed project-based training through a UNDP-supported initiative.</w:t>
      </w:r>
    </w:p>
    <w:p>
      <w:pPr>
        <w:spacing w:after="10" w:line="84" w:lineRule="auto"/>
      </w:pPr>
    </w:p>
    <w:p>
      <w:pPr>
        <w:pStyle w:val="CVSection"/>
        <w:pBdr>
          <w:bottom w:val="single" w:sz="5" w:space="2" w:color="D7E0E8"/>
        </w:pBdr>
      </w:pPr>
      <w:r>
        <w:t>Education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654"/>
        <w:gridCol w:w="2268"/>
      </w:tblGrid>
      <w:tr>
        <w:trPr>
          <w:cantSplit/>
        </w:trPr>
        <w:tc>
          <w:tcPr>
            <w:tcW w:type="dxa" w:w="5074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Aptos" w:hAnsi="Aptos" w:eastAsia="Aptos"/>
                <w:b/>
                <w:color w:val="1F2937"/>
                <w:sz w:val="20"/>
              </w:rPr>
              <w:t>Bachelor’s Degree in English Literature</w:t>
            </w:r>
            <w:r>
              <w:rPr>
                <w:rFonts w:ascii="Aptos" w:hAnsi="Aptos" w:eastAsia="Aptos"/>
                <w:b/>
                <w:color w:val="2B6F75"/>
                <w:sz w:val="19"/>
              </w:rPr>
              <w:t xml:space="preserve">  |  Damascus University</w:t>
            </w:r>
          </w:p>
        </w:tc>
        <w:tc>
          <w:tcPr>
            <w:tcW w:type="dxa" w:w="5074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keepNext/>
              <w:spacing w:after="0"/>
              <w:jc w:val="right"/>
            </w:pPr>
            <w:r>
              <w:rPr>
                <w:rFonts w:ascii="Aptos" w:hAnsi="Aptos" w:eastAsia="Aptos"/>
                <w:b/>
                <w:color w:val="667085"/>
                <w:sz w:val="18"/>
              </w:rPr>
              <w:t>2019–2024</w:t>
            </w:r>
          </w:p>
        </w:tc>
      </w:tr>
    </w:tbl>
    <w:p>
      <w:pPr>
        <w:spacing w:after="10" w:line="84" w:lineRule="auto"/>
      </w:pPr>
    </w:p>
    <w:p>
      <w:pPr>
        <w:pStyle w:val="CVSection"/>
        <w:pBdr>
          <w:bottom w:val="single" w:sz="5" w:space="2" w:color="D7E0E8"/>
        </w:pBdr>
      </w:pPr>
      <w:r>
        <w:t>Training &amp; Certificates</w:t>
      </w:r>
    </w:p>
    <w:p>
      <w:pPr>
        <w:pStyle w:val="CVBullet"/>
        <w:spacing w:after="34"/>
      </w:pPr>
      <w:r>
        <w:rPr>
          <w:rFonts w:ascii="Aptos" w:hAnsi="Aptos" w:eastAsia="Aptos"/>
          <w:b/>
          <w:color w:val="2B6F75"/>
          <w:sz w:val="19"/>
        </w:rPr>
        <w:t xml:space="preserve">•  </w:t>
      </w:r>
      <w:r>
        <w:rPr>
          <w:rFonts w:ascii="Aptos" w:hAnsi="Aptos" w:eastAsia="Aptos"/>
          <w:color w:val="1F2937"/>
          <w:sz w:val="19"/>
        </w:rPr>
        <w:t>TESOL Certificate — University of Arizona via Coursera (in progress)</w:t>
      </w:r>
    </w:p>
    <w:p>
      <w:pPr>
        <w:pStyle w:val="CVBullet"/>
        <w:spacing w:after="34"/>
      </w:pPr>
      <w:r>
        <w:rPr>
          <w:rFonts w:ascii="Aptos" w:hAnsi="Aptos" w:eastAsia="Aptos"/>
          <w:b/>
          <w:color w:val="2B6F75"/>
          <w:sz w:val="19"/>
        </w:rPr>
        <w:t xml:space="preserve">•  </w:t>
      </w:r>
      <w:r>
        <w:rPr>
          <w:rFonts w:ascii="Aptos" w:hAnsi="Aptos" w:eastAsia="Aptos"/>
          <w:color w:val="1F2937"/>
          <w:sz w:val="19"/>
        </w:rPr>
        <w:t>English Grammar — Coursera</w:t>
      </w:r>
    </w:p>
    <w:p>
      <w:pPr>
        <w:pStyle w:val="CVBullet"/>
        <w:spacing w:after="34"/>
      </w:pPr>
      <w:r>
        <w:rPr>
          <w:rFonts w:ascii="Aptos" w:hAnsi="Aptos" w:eastAsia="Aptos"/>
          <w:b/>
          <w:color w:val="2B6F75"/>
          <w:sz w:val="19"/>
        </w:rPr>
        <w:t xml:space="preserve">•  </w:t>
      </w:r>
      <w:r>
        <w:rPr>
          <w:rFonts w:ascii="Aptos" w:hAnsi="Aptos" w:eastAsia="Aptos"/>
          <w:color w:val="1F2937"/>
          <w:sz w:val="19"/>
        </w:rPr>
        <w:t>How to Create an Online Course — Coursera</w:t>
      </w:r>
    </w:p>
    <w:p>
      <w:pPr>
        <w:pStyle w:val="CVBullet"/>
        <w:spacing w:after="34"/>
      </w:pPr>
      <w:r>
        <w:rPr>
          <w:rFonts w:ascii="Aptos" w:hAnsi="Aptos" w:eastAsia="Aptos"/>
          <w:b/>
          <w:color w:val="2B6F75"/>
          <w:sz w:val="19"/>
        </w:rPr>
        <w:t xml:space="preserve">•  </w:t>
      </w:r>
      <w:r>
        <w:rPr>
          <w:rFonts w:ascii="Aptos" w:hAnsi="Aptos" w:eastAsia="Aptos"/>
          <w:color w:val="1F2937"/>
          <w:sz w:val="19"/>
        </w:rPr>
        <w:t>Voice-over Training — International Center for Training and Media Skills Development (2024)</w:t>
      </w:r>
    </w:p>
    <w:p>
      <w:pPr>
        <w:pStyle w:val="CVSection"/>
        <w:pBdr>
          <w:bottom w:val="single" w:sz="5" w:space="2" w:color="D7E0E8"/>
        </w:pBdr>
      </w:pPr>
      <w:r>
        <w:t>Languages</w:t>
      </w:r>
    </w:p>
    <w:p>
      <w:pPr>
        <w:spacing w:after="0"/>
      </w:pPr>
      <w:r>
        <w:rPr>
          <w:rFonts w:ascii="Aptos" w:hAnsi="Aptos" w:eastAsia="Aptos"/>
          <w:b/>
          <w:color w:val="2B6F75"/>
          <w:sz w:val="18"/>
        </w:rPr>
        <w:t xml:space="preserve">Arabic: </w:t>
      </w:r>
      <w:r>
        <w:rPr>
          <w:rFonts w:ascii="Aptos" w:hAnsi="Aptos" w:eastAsia="Aptos"/>
          <w:color w:val="1F2937"/>
          <w:sz w:val="18"/>
        </w:rPr>
        <w:t>Native</w:t>
      </w:r>
      <w:r>
        <w:rPr>
          <w:rFonts w:ascii="Aptos" w:hAnsi="Aptos" w:eastAsia="Aptos"/>
          <w:color w:val="D7E0E8"/>
          <w:sz w:val="18"/>
        </w:rPr>
        <w:t xml:space="preserve">     |     </w:t>
      </w:r>
      <w:r>
        <w:rPr>
          <w:rFonts w:ascii="Aptos" w:hAnsi="Aptos" w:eastAsia="Aptos"/>
          <w:b/>
          <w:color w:val="2B6F75"/>
          <w:sz w:val="18"/>
        </w:rPr>
        <w:t xml:space="preserve">English: </w:t>
      </w:r>
      <w:r>
        <w:rPr>
          <w:rFonts w:ascii="Aptos" w:hAnsi="Aptos" w:eastAsia="Aptos"/>
          <w:color w:val="1F2937"/>
          <w:sz w:val="18"/>
        </w:rPr>
        <w:t>Excellent</w:t>
      </w:r>
      <w:r>
        <w:rPr>
          <w:rFonts w:ascii="Aptos" w:hAnsi="Aptos" w:eastAsia="Aptos"/>
          <w:color w:val="D7E0E8"/>
          <w:sz w:val="18"/>
        </w:rPr>
        <w:t xml:space="preserve">     |     </w:t>
      </w:r>
      <w:r>
        <w:rPr>
          <w:rFonts w:ascii="Aptos" w:hAnsi="Aptos" w:eastAsia="Aptos"/>
          <w:b/>
          <w:color w:val="2B6F75"/>
          <w:sz w:val="18"/>
        </w:rPr>
        <w:t xml:space="preserve">Spanish: </w:t>
      </w:r>
      <w:r>
        <w:rPr>
          <w:rFonts w:ascii="Aptos" w:hAnsi="Aptos" w:eastAsia="Aptos"/>
          <w:color w:val="1F2937"/>
          <w:sz w:val="18"/>
        </w:rPr>
        <w:t>Beginner</w:t>
      </w:r>
    </w:p>
    <w:sectPr w:rsidR="00FC693F" w:rsidRPr="0006063C" w:rsidSect="00034616">
      <w:footerReference w:type="default" r:id="rId9"/>
      <w:pgSz w:w="11906" w:h="16838"/>
      <w:pgMar w:top="765" w:right="879" w:bottom="765" w:left="879" w:header="283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right"/>
      <w:pBdr>
        <w:top w:val="single" w:sz="5" w:space="5" w:color="D7E0E8"/>
      </w:pBdr>
    </w:pPr>
    <w:r>
      <w:rPr>
        <w:rFonts w:ascii="Aptos" w:hAnsi="Aptos" w:eastAsia="Aptos"/>
        <w:color w:val="667085"/>
        <w:sz w:val="16"/>
      </w:rPr>
      <w:t>Leen Alhamami | Curriculum Vitae</w:t>
    </w:r>
    <w:r>
      <w:rPr>
        <w:rFonts w:ascii="Aptos" w:hAnsi="Aptos" w:eastAsia="Aptos"/>
        <w:color w:val="667085"/>
        <w:sz w:val="16"/>
      </w:rPr>
      <w:t xml:space="preserve">                                                         </w:t>
    </w:r>
    <w:r>
      <w:rPr>
        <w:rFonts w:ascii="Aptos" w:hAnsi="Aptos" w:eastAsia="Aptos"/>
        <w:color w:val="667085"/>
        <w:sz w:val="16"/>
      </w:rPr>
      <w:t xml:space="preserve">Page </w:t>
    </w:r>
    <w:r>
      <w:rPr>
        <w:rFonts w:ascii="Aptos" w:hAnsi="Aptos" w:eastAsia="Aptos"/>
        <w:color w:val="667085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4" w:line="259" w:lineRule="auto"/>
    </w:pPr>
    <w:rPr>
      <w:rFonts w:ascii="Aptos" w:hAnsi="Aptos" w:eastAsia="Aptos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 w:eastAsia="Apto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 w:eastAsia="Aptos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 w:eastAsia="Aptos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Section">
    <w:name w:val="CV Section"/>
    <w:pPr>
      <w:keepNext/>
      <w:spacing w:before="160" w:after="60"/>
    </w:pPr>
    <w:rPr>
      <w:rFonts w:ascii="Aptos" w:hAnsi="Aptos" w:eastAsia="Aptos"/>
      <w:b/>
      <w:caps/>
      <w:color w:val="17324D"/>
      <w:sz w:val="20"/>
    </w:rPr>
  </w:style>
  <w:style w:type="paragraph" w:customStyle="1" w:styleId="CVBullet">
    <w:name w:val="CV Bullet"/>
    <w:pPr>
      <w:spacing w:after="34" w:line="254" w:lineRule="auto"/>
      <w:ind w:left="238" w:hanging="159"/>
    </w:pPr>
    <w:rPr>
      <w:rFonts w:ascii="Aptos" w:hAnsi="Aptos" w:eastAsia="Aptos"/>
      <w:color w:val="1F2937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Leen Alhamami | Curriculum Vitae</dc:subject>
  <dc:creator>Leen Alhamami</dc:creator>
  <cp:keywords>Protection Monitoring Assistant, Danish Refugee Council, Rural Damascus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