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2/20 - 1건)</w:t>
      </w:r>
    </w:p>
    <w:p/>
    <w:p>
      <w:r>
        <w:t>### 사례 [AC302] 청년형장기집합투자증권저축계좌 중도/부적격 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'청년형장기집합투자증권저축계좌 중도/부적격 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[미래에셋증권]청년형장기집합투자증권저축계좌 소득공제 적용 배제 및 세액 추징 안내문</w:t>
      </w:r>
    </w:p>
    <w:p/>
    <w:p>
      <w:r>
        <w:t>고객님께서는</w:t>
      </w:r>
    </w:p>
    <w:p>
      <w:r>
        <w:t>■ 조세특례제한법 제91조의20에서 정한 소득공제가 적용되는 청년형장기집합투자증권저축 가입 후 의무가입기간 경과 전에 해지하였습니다. 따라서 동법 제91조의20 제5항에 의거 소득공제로 감면받은 세액상당액을 추징하여 납부하오니 양지하여 주시기 바랍니다.</w:t>
      </w:r>
    </w:p>
    <w:p>
      <w:r>
        <w:t>■ 단, 소득공제 세액이 추징세액에 미달하는 경우에는 실제로 감면받은 세액상당액으로 한정됩니다.</w:t>
      </w:r>
    </w:p>
    <w:p/>
    <w:p>
      <w:r>
        <w:t>━━━ TOBE (검수자 개선안 — 인라인 마커) ━━━</w:t>
      </w:r>
    </w:p>
    <w:p>
      <w:r>
        <w:t>[미래에셋증권] &lt;v2&gt;청년형장기집합투자증권저축&lt;/v2&gt; 해지에 따른 세금&lt;v2&gt; 부과 &lt;/v2&gt;안내</w:t>
      </w:r>
    </w:p>
    <w:p/>
    <w:p>
      <w:r>
        <w:t xml:space="preserve">&lt;v2&gt;고객님께서는&lt;/v2&gt; &lt;v2&gt;청년형장기집합투자증권저축을&lt;/v2&gt; 의무가입기간(3년) 전에 해지하셨습니다. </w:t>
      </w:r>
    </w:p>
    <w:p>
      <w:r>
        <w:t>이에 따라, 기존에 감면받은 세금이 부과될 예정임을 알려 드립니다.(근거: 「조세특례제한법」 제91조의20 제5항)</w:t>
      </w:r>
    </w:p>
    <w:p>
      <w:r>
        <w:t>&lt;v3&gt;</w:t>
      </w:r>
    </w:p>
    <w:p>
      <w:r>
        <w:t xml:space="preserve">&lt;/v3&gt;단, 실제로 감면받은 세액이 추징세액보다 적은 경우, 기존에 감면받은 금액 한도 내에서만 납부하시면 됩니다. 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AC302</w:t>
      </w:r>
    </w:p>
    <w:p>
      <w:r>
        <w:t>- 메시지 이름: 청년형장기집합투자증권저축계좌 중도/부적격 해지 안내</w:t>
      </w:r>
    </w:p>
    <w:p>
      <w:r>
        <w:t>- 검토결과: 검토완료</w:t>
      </w:r>
    </w:p>
    <w:p>
      <w:r>
        <w:t>- 담당팀 피드백 첫 라인: [미래에셋증권]청년형장기집합투자증권저축계좌 소득공제 적용 배제 및 세액 추징 안내문</w:t>
      </w:r>
    </w:p>
    <w:p>
      <w:r>
        <w:t>- 와이어링크 메모: 고객이름 가변값 적용하지 않는 메시지로 이해되어 '고객님께서는' 반영했습니다.   상품명 '청년형장기집합투자증권저축'의 경우 원안대로 유지했습니다.  다만, 메시지 본문의 경우 &lt;고객중심 언어 가이드&gt; 기준으로 재구</w:t>
      </w:r>
    </w:p>
    <w:p>
      <w:r>
        <w:t>- 원천: 정답데이터2 / 2차_파생 등_피드백반영 R5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