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가이드 Appendix - 미래에셋증권 편집정책 (145-146p)</w:t>
      </w:r>
    </w:p>
    <w:p>
      <w:r>
        <w:t>[가이드 본문 직접 인용 - Mi-Tone v5.21 RAG 자료]</w:t>
      </w:r>
    </w:p>
    <w:p/>
    <w:p>
      <w:r>
        <w:t>회사 공식 콘텐츠 작성 원칙. 145-146p Appendix Editorial Policies.</w:t>
      </w:r>
    </w:p>
    <w:p/>
    <w:p>
      <w:r>
        <w:t>3대 가치 (145p 본문 그대로):</w:t>
      </w:r>
    </w:p>
    <w:p>
      <w:r>
        <w:t>- 공정성: 특정 자산, 상품, 지역, 기업에 대한 편향 없이 균형 잡힌 시각을 제공합니다.</w:t>
      </w:r>
    </w:p>
    <w:p>
      <w:r>
        <w:t>- 정확성: 모든 수치와 인용은 출처를 명확히 밝히며, 사실에 기반한 정보를 제공합니다.</w:t>
      </w:r>
    </w:p>
    <w:p>
      <w:r>
        <w:t>- 독립성: 외부 광고, 영업, 상품 이해관계로부터 분리되어 독립적인 편집 판단을 유지합니다.</w:t>
      </w:r>
    </w:p>
    <w:p/>
    <w:p>
      <w:r>
        <w:t>브랜드 보이스 4종 (145p 본문 그대로):</w:t>
      </w:r>
    </w:p>
    <w:p>
      <w:r>
        <w:t>- Client First | 고객의 상황과 감정을 먼저 헤아립니다.</w:t>
      </w:r>
    </w:p>
    <w:p>
      <w:r>
        <w:t>- Insightful | 전문성을 바탕으로 명료하게 씁니다.</w:t>
      </w:r>
    </w:p>
    <w:p>
      <w:r>
        <w:t>- Trustworthy | 신뢰를 주는 언어로 표현합니다.</w:t>
      </w:r>
    </w:p>
    <w:p>
      <w:r>
        <w:t>- Contributive | 실천 가능한 책임만 진정성 있게 전합니다.</w:t>
      </w:r>
    </w:p>
    <w:p/>
    <w:p>
      <w:r>
        <w:t>━━━━━━━━━━━━━━━━━━━━━━━━━━━━━━━━━━━━━━━━</w:t>
      </w:r>
    </w:p>
    <w:p>
      <w:pPr>
        <w:pStyle w:val="Heading1"/>
      </w:pPr>
      <w:r>
        <w:t>가이드 PDF 본문 (1:1 인용)</w:t>
      </w:r>
    </w:p>
    <w:p>
      <w:r>
        <w:t>부록</w:t>
      </w:r>
    </w:p>
    <w:p>
      <w:r>
        <w:t>Editorial Policies</w:t>
      </w:r>
    </w:p>
    <w:p>
      <w:r>
        <w:t>미래에셋증권은 정보의 신뢰와 콘텐츠의 품격을 지키며, 일관된 브랜드 경험을 전달합니다.</w:t>
      </w:r>
    </w:p>
    <w:p>
      <w:r>
        <w:t>미래에셋증권 편집정책(1/2)</w:t>
      </w:r>
    </w:p>
    <w:p>
      <w:r>
        <w:t>전사 커뮤니케이션 채널은 「고객중심 언어 가이드」 를 공통의 기준으로 삼아, 동일한 철학과 편집 원칙 아래 콘텐츠를 제작합니다.</w:t>
      </w:r>
    </w:p>
    <w:p>
      <w:r>
        <w:t>편집의 목적</w:t>
      </w:r>
    </w:p>
    <w:p>
      <w:r>
        <w:t>‧모든 콘텐츠는 투자 판단에 도움이 되는 정확하고 신뢰할 수 있는 정보 제공을 목표로 합니다. ‧브랜드 철학·품격·윤리를 반영하여, 고객이 안심하고 참고할 수 있는 콘텐츠를 지향합니다.</w:t>
      </w:r>
    </w:p>
    <w:p>
      <w:r>
        <w:t>편집의 가치</w:t>
      </w:r>
    </w:p>
    <w:p>
      <w:r>
        <w:t>‧공정성 특정 자산, 상품, 지역, 기업에 대한 편향 없이 균형 잡힌 시각을 제공합니다. ‧정확성 모든 수치와 인용은 출처를 명확히 밝히며, 사실에 기반한 정보를 제공합니다. ‧독립성 외부 광고, 영업, 상품 이해관계로부터 분리되어 독립적인 편집 판단을 유지합니다.</w:t>
      </w:r>
    </w:p>
    <w:p>
      <w:r>
        <w:t>브랜드 보이스</w:t>
      </w:r>
    </w:p>
    <w:p>
      <w:r>
        <w:t>‧Client First | 고객의 상황과 감정을 먼저 헤아립니다. ‧Insightful | 전문성을 바탕으로 명료하게 씁니다. ‧Trustworthy | 신뢰를 주는 언어로 표현합니다. ‧Contributive | 실천 가능한 책임만 진정성 있게 전합니다.</w:t>
      </w:r>
    </w:p>
    <w:p>
      <w:r>
        <w:t>편집 콘텐츠</w:t>
      </w:r>
    </w:p>
    <w:p>
      <w:r>
        <w:t>‧마이크로 콘텐츠: 문자메시지(SMS, LMS), 카카오 알림톡, 앱 푸시, 이벤트, 이메일 ‧매크로 콘텐츠: 뉴스레터, 매거진, 리서치 ‧M-STOCK</w:t>
      </w:r>
    </w:p>
    <w:p>
      <w:r>
        <w:t>콘텐츠 운영 기준</w:t>
      </w:r>
    </w:p>
    <w:p>
      <w:r>
        <w:t>‧모든 콘텐츠는 사실 확인과 내부 검수를 거쳐 발간됩니다. ‧외부 기고자가 쓴 원고는 미래에셋의 윤리, 품격, 법규 기준을 충족해야 합니다.</w:t>
      </w:r>
    </w:p>
    <w:p>
      <w:r>
        <w:t>145</w:t>
      </w:r>
    </w:p>
    <w:p>
      <w:r>
        <w:t>부록</w:t>
      </w:r>
    </w:p>
    <w:p>
      <w:r>
        <w:t>Editorial Policies</w:t>
      </w:r>
    </w:p>
    <w:p>
      <w:r>
        <w:t>미래에셋증권 편집정책(2/2)</w:t>
      </w:r>
    </w:p>
    <w:p>
      <w:r>
        <w:t>미래에셋증권은 정보의 신뢰와 콘텐츠의 품격을 지키며, 일관된 브랜드 경험을 전달합니다.</w:t>
      </w:r>
    </w:p>
    <w:p>
      <w:r>
        <w:t>이해 상충 방지</w:t>
      </w:r>
    </w:p>
    <w:p>
      <w:r>
        <w:t>‧콘텐츠 작성자(내부 또는 외부)는 투자 대상 기업이나 자산에 대한 개인적 이해관계를 사전에 공개해야 합니다. ‧이해 상충이 발생할 가능성이 있는 경우, 최종 결재권자의 독립적 판단에 따라 게재 여부를 결정합니다.</w:t>
      </w:r>
    </w:p>
    <w:p>
      <w:r>
        <w:t>투자 관련 공시</w:t>
      </w:r>
    </w:p>
    <w:p>
      <w:r>
        <w:t>‧미래에셋증권의 모든 콘텐츠는 투자 권유를 목적으로 하지 않습니다. ‧콘텐츠에 언급된 자산, 종목, 상품 등은 투자 참고용 정보로만 제공됩니다.</w:t>
      </w:r>
    </w:p>
    <w:p>
      <w:r>
        <w:t>저작권 및 출처</w:t>
      </w:r>
    </w:p>
    <w:p>
      <w:r>
        <w:t>‧모든 인용, 데이터, 이미지는 출처를 명시합니다. ‧외부 자료를 인용할 때는 저작권자의 허락 및 인용 기준을 준수합니다. ‧표절, 무단 전재, 출처 누락 등은 즉시 수정·정정 대상이며, 필요시 해당 콘텐츠 철회 및 내부 제재가 적용됩니다.</w:t>
      </w:r>
    </w:p>
    <w:p>
      <w:r>
        <w:t>정정 및 수정</w:t>
      </w:r>
    </w:p>
    <w:p>
      <w:r>
        <w:t>‧오류 수정: 사실과 다른 내용이나 오타가 발견되면 즉시 바로잡고, 수정한 내역을 투명하게 공개합니다. ‧내용 보완: 맥락이 불충분하거나 추가 설명이 필요한 경우, 이해를 돕기 위해 설명을 덧붙입니다. ‧게시 중단: 중대한 오류나 법적 문제가 확인된 콘텐츠는 즉시 게시를 중단하거나 삭제(또는 철회) 조치합니다.</w:t>
      </w:r>
    </w:p>
    <w:p>
      <w:r>
        <w:t>언어와 포용성</w:t>
      </w:r>
    </w:p>
    <w:p>
      <w:r>
        <w:t>‧모든 콘텐츠에는 공정하고 포용적인 언어를 사용합니다. ‧편견, 차별, 과도한 수사적 표현은 지양하며, 고객의 가치와 품격에 부합하는 표현을 선택합니다.</w:t>
      </w:r>
    </w:p>
    <w:p>
      <w:r>
        <w:t>146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