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안내형 바텀시트 — 정보를 간결히 전달해 고객이 맥락을 잃지 않고 행동을 이어가도록 돕는 인터랙션 요소</w:t>
      </w:r>
    </w:p>
    <w:p>
      <w:pPr>
        <w:pStyle w:val="Heading2"/>
      </w:pPr>
      <w:r>
        <w:t>🎯 핵심 규칙 (가이드 95p)</w:t>
      </w:r>
    </w:p>
    <w:p>
      <w:pPr>
        <w:pStyle w:val="ListNumber"/>
      </w:pPr>
      <w:r>
        <w:rPr>
          <w:b/>
          <w:i w:val="0"/>
        </w:rPr>
        <w:t>타이틀</w:t>
      </w:r>
      <w:r>
        <w:rPr>
          <w:b w:val="0"/>
          <w:i w:val="0"/>
        </w:rPr>
        <w:t xml:space="preserve">: 최대 2줄 이내 한 문장. </w:t>
      </w:r>
      <w:r>
        <w:rPr>
          <w:b/>
          <w:i w:val="0"/>
        </w:rPr>
        <w:t>'무엇을 어떻게' 관점</w:t>
      </w:r>
      <w:r>
        <w:rPr>
          <w:b w:val="0"/>
          <w:i w:val="0"/>
        </w:rPr>
        <w:t>으로 작성</w:t>
      </w:r>
    </w:p>
    <w:p>
      <w:pPr>
        <w:pStyle w:val="ListNumber"/>
      </w:pPr>
      <w:r>
        <w:rPr>
          <w:b/>
          <w:i w:val="0"/>
        </w:rPr>
        <w:t>본문 문체</w:t>
      </w:r>
      <w:r>
        <w:rPr>
          <w:b w:val="0"/>
          <w:i w:val="0"/>
        </w:rPr>
        <w:t xml:space="preserve">: '하십시오체' 기본. 행동 요청·제안·권유는 </w:t>
      </w:r>
      <w:r>
        <w:rPr>
          <w:rFonts w:ascii="Consolas" w:hAnsi="Consolas"/>
        </w:rPr>
        <w:t>~해 주세요</w:t>
      </w:r>
    </w:p>
    <w:p>
      <w:pPr>
        <w:pStyle w:val="ListNumber"/>
      </w:pPr>
      <w:r>
        <w:rPr>
          <w:b/>
          <w:i w:val="0"/>
        </w:rPr>
        <w:t>세부 항목</w:t>
      </w:r>
      <w:r>
        <w:rPr>
          <w:b w:val="0"/>
          <w:i w:val="0"/>
        </w:rPr>
        <w:t>: 명사형으로 간결하게</w:t>
      </w:r>
    </w:p>
    <w:p>
      <w:pPr>
        <w:pStyle w:val="ListNumber"/>
      </w:pPr>
      <w:r>
        <w:rPr>
          <w:b/>
          <w:i w:val="0"/>
        </w:rPr>
        <w:t>구분 기호</w:t>
      </w:r>
      <w:r>
        <w:rPr>
          <w:b w:val="0"/>
          <w:i w:val="0"/>
        </w:rPr>
        <w:t>: 불릿(·) &gt; 붙임표(-) 순서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개선 전/후 (가이드 95p)</w:t>
      </w:r>
    </w:p>
    <w:p>
      <w:pPr>
        <w:pStyle w:val="Heading3"/>
      </w:pPr>
      <w:r>
        <w:t>케이스 1 — 법령 안내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한도제한계좌 안내</w:t>
      </w:r>
    </w:p>
    <w:p>
      <w:pPr>
        <w:ind w:left="400"/>
      </w:pPr>
      <w:r>
        <w:rPr>
          <w:b w:val="0"/>
          <w:i w:val="0"/>
        </w:rPr>
        <w:t>· 금융거래목적을 확인할 수 있는 객관적 증빙 서류가</w:t>
      </w:r>
      <w:r>
        <w:t xml:space="preserve"> </w:t>
      </w:r>
      <w:r>
        <w:rPr>
          <w:b w:val="0"/>
          <w:i w:val="0"/>
        </w:rPr>
        <w:t>확인되지 않고 개설된 계좌는 이체와 출금한도가</w:t>
      </w:r>
      <w:r>
        <w:t xml:space="preserve"> </w:t>
      </w:r>
      <w:r>
        <w:rPr>
          <w:b w:val="0"/>
          <w:i w:val="0"/>
        </w:rPr>
        <w:t>제한된 「한도제한계좌」로 설정됩니다.</w:t>
      </w:r>
      <w:r>
        <w:t xml:space="preserve"> </w:t>
      </w:r>
      <w:r>
        <w:rPr>
          <w:b w:val="0"/>
          <w:i w:val="0"/>
        </w:rPr>
        <w:t>· 「한도제한계좌」의 이체/출금 한도</w:t>
      </w:r>
    </w:p>
    <w:p>
      <w:pPr>
        <w:pStyle w:val="ListBullet"/>
      </w:pPr>
      <w:r>
        <w:rPr>
          <w:b w:val="0"/>
          <w:i w:val="0"/>
        </w:rPr>
        <w:t>온라인/ATM: 일 100만원</w:t>
      </w:r>
    </w:p>
    <w:p>
      <w:pPr>
        <w:pStyle w:val="ListBullet"/>
      </w:pPr>
      <w:r>
        <w:rPr>
          <w:b w:val="0"/>
          <w:i w:val="0"/>
        </w:rPr>
        <w:t>영업점: 일 300만원</w:t>
      </w:r>
      <w:r>
        <w:t xml:space="preserve"> </w:t>
      </w:r>
      <w:r>
        <w:rPr>
          <w:b w:val="0"/>
          <w:i w:val="0"/>
        </w:rPr>
        <w:t>※ 복수의 한도제한계좌가 있을 경우, 일 이체/출금 한도는</w:t>
      </w:r>
      <w:r>
        <w:t xml:space="preserve"> </w:t>
      </w:r>
      <w:r>
        <w:rPr>
          <w:b w:val="0"/>
          <w:i w:val="0"/>
        </w:rPr>
        <w:t>합산하여 적용(외화이체는 기준 환율로 환산하여 적용)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확인]</w:t>
      </w:r>
    </w:p>
    <w:p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안전한 금융 거래를 위해</w:t>
      </w:r>
      <w:r>
        <w:t xml:space="preserve"> </w:t>
      </w:r>
      <w:r>
        <w:rPr>
          <w:b w:val="0"/>
          <w:i w:val="0"/>
        </w:rPr>
        <w:t>이체/출금한도가 제한됩니다</w:t>
      </w:r>
    </w:p>
    <w:p>
      <w:pPr>
        <w:ind w:left="400"/>
      </w:pPr>
      <w:r>
        <w:rPr>
          <w:b w:val="0"/>
          <w:i w:val="0"/>
        </w:rPr>
        <w:t>1일 이체/출금한도</w:t>
      </w:r>
    </w:p>
    <w:p>
      <w:pPr>
        <w:pStyle w:val="ListBullet"/>
      </w:pPr>
      <w:r>
        <w:rPr>
          <w:b w:val="0"/>
          <w:i w:val="0"/>
        </w:rPr>
        <w:t>온라인/ATM: 100만원</w:t>
      </w:r>
    </w:p>
    <w:p>
      <w:pPr>
        <w:pStyle w:val="ListBullet"/>
      </w:pPr>
      <w:r>
        <w:rPr>
          <w:b w:val="0"/>
          <w:i w:val="0"/>
        </w:rPr>
        <w:t>영업점: 300만원</w:t>
      </w:r>
    </w:p>
    <w:p>
      <w:pPr>
        <w:pStyle w:val="ListBullet"/>
      </w:pPr>
      <w:r>
        <w:rPr>
          <w:b w:val="0"/>
          <w:i w:val="0"/>
        </w:rPr>
        <w:t>한도제한계좌가 여러 개인 경우, 한도는 합산하여</w:t>
      </w:r>
      <w:r>
        <w:t xml:space="preserve"> </w:t>
      </w:r>
      <w:r>
        <w:rPr>
          <w:b w:val="0"/>
          <w:i w:val="0"/>
        </w:rPr>
        <w:t>적용됩니다.(외화는 기준 환율로 환산 후 적용)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확인]</w:t>
      </w:r>
    </w:p>
    <w:p>
      <w:r>
        <w:rPr>
          <w:b/>
          <w:i w:val="0"/>
        </w:rPr>
        <w:t>변경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타이틀 "한도제한계좌 안내" → "안전한 금융 거래를 위해 이체/출금한도가 제한됩니다" (무엇을 어떻게 관점)</w:t>
      </w:r>
    </w:p>
    <w:p>
      <w:pPr>
        <w:pStyle w:val="ListBullet"/>
      </w:pPr>
      <w:r>
        <w:rPr>
          <w:b w:val="0"/>
          <w:i w:val="0"/>
        </w:rPr>
        <w:t>첫 줄에 왜 제한이 있는지 명시</w:t>
      </w:r>
    </w:p>
    <w:p>
      <w:pPr>
        <w:pStyle w:val="ListBullet"/>
      </w:pPr>
      <w:r>
        <w:rPr>
          <w:b w:val="0"/>
          <w:i w:val="0"/>
        </w:rPr>
        <w:t>본문 명사형 항목 (</w:t>
      </w:r>
      <w:r>
        <w:rPr>
          <w:rFonts w:ascii="Consolas" w:hAnsi="Consolas"/>
        </w:rPr>
        <w:t>1일 이체/출금한도</w:t>
      </w:r>
      <w:r>
        <w:rPr>
          <w:b w:val="0"/>
          <w:i w:val="0"/>
        </w:rPr>
        <w:t xml:space="preserve"> → 불릿+붙임표로 수치 정리)</w:t>
      </w:r>
    </w:p>
    <w:p>
      <w:pPr>
        <w:pStyle w:val="ListBullet"/>
      </w:pPr>
      <w:r>
        <w:rPr>
          <w:b w:val="0"/>
          <w:i w:val="0"/>
        </w:rPr>
        <w:t>법령 인용 생략 (이미 상위 공지사항에서 다룸)</w:t>
      </w:r>
    </w:p>
    <w:p>
      <w:pPr>
        <w:pStyle w:val="Heading3"/>
      </w:pPr>
      <w:r>
        <w:t>케이스 2 — 증명서 발급 안내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홈택스 발급 신청</w:t>
      </w:r>
    </w:p>
    <w:p>
      <w:pPr>
        <w:ind w:left="400"/>
      </w:pPr>
      <w:r>
        <w:rPr>
          <w:b w:val="0"/>
          <w:i w:val="0"/>
        </w:rPr>
        <w:t>홈택스 → 민원증명 → 민원증명발급신청 → 소득확인</w:t>
      </w:r>
      <w:r>
        <w:t xml:space="preserve"> </w:t>
      </w:r>
      <w:r>
        <w:rPr>
          <w:b w:val="0"/>
          <w:i w:val="0"/>
        </w:rPr>
        <w:t>증명서(청년형 장기집합투자증권 저축 가입 및 과세특</w:t>
      </w:r>
      <w:r>
        <w:t xml:space="preserve"> </w:t>
      </w:r>
      <w:r>
        <w:rPr>
          <w:b w:val="0"/>
          <w:i w:val="0"/>
        </w:rPr>
        <w:t>례신청용) 신청</w:t>
      </w:r>
    </w:p>
    <w:p>
      <w:pPr>
        <w:pStyle w:val="ListBullet"/>
      </w:pPr>
      <w:r>
        <w:rPr>
          <w:b w:val="0"/>
          <w:i w:val="0"/>
        </w:rPr>
        <w:t>청년형장기집합투자증권저축 가입 및 과세특례 신청용</w:t>
      </w:r>
      <w:r>
        <w:t xml:space="preserve"> </w:t>
      </w:r>
      <w:r>
        <w:rPr>
          <w:b w:val="0"/>
          <w:i w:val="0"/>
        </w:rPr>
        <w:t>소득확인증명서(발급일로부터 90일 이내)</w:t>
      </w:r>
    </w:p>
    <w:p>
      <w:pPr>
        <w:ind w:left="400"/>
      </w:pPr>
      <w:r>
        <w:rPr>
          <w:b w:val="0"/>
          <w:i w:val="0"/>
        </w:rPr>
        <w:t>증명서류</w:t>
      </w:r>
      <w:r>
        <w:t xml:space="preserve"> </w:t>
      </w:r>
      <w:r>
        <w:rPr>
          <w:b w:val="0"/>
          <w:i w:val="0"/>
        </w:rPr>
        <w:t>· 사용한도: 금융기관제출용/제출처: 금융기관</w:t>
      </w:r>
      <w:r>
        <w:t xml:space="preserve"> </w:t>
      </w:r>
      <w:r>
        <w:rPr>
          <w:b w:val="0"/>
          <w:i w:val="0"/>
        </w:rPr>
        <w:t>· 수령방법: 인터넷 발급(프린트출력) 선택 必</w:t>
      </w:r>
      <w:r>
        <w:t xml:space="preserve"> </w:t>
      </w:r>
      <w:r>
        <w:rPr>
          <w:b w:val="0"/>
          <w:i w:val="0"/>
        </w:rPr>
        <w:t>· 발급번호 14자리 확인 후 입력</w:t>
      </w:r>
    </w:p>
    <w:p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상품 가입에 필요한</w:t>
      </w:r>
      <w:r>
        <w:t xml:space="preserve"> </w:t>
      </w:r>
      <w:r>
        <w:rPr>
          <w:b w:val="0"/>
          <w:i w:val="0"/>
        </w:rPr>
        <w:t>서류를 발급해 주세요</w:t>
      </w:r>
    </w:p>
    <w:p>
      <w:pPr>
        <w:ind w:left="400"/>
      </w:pPr>
      <w:r>
        <w:rPr>
          <w:b w:val="0"/>
          <w:i w:val="0"/>
        </w:rPr>
        <w:t>· 증명서류: 소득확인 증명서</w:t>
      </w:r>
      <w:r>
        <w:t xml:space="preserve"> </w:t>
      </w:r>
      <w:r>
        <w:rPr>
          <w:b w:val="0"/>
          <w:i w:val="0"/>
        </w:rPr>
        <w:t>· 발급방법: 홈택스 &gt; 민원증명 &gt; 민원증명</w:t>
      </w:r>
      <w:r>
        <w:t xml:space="preserve"> </w:t>
      </w:r>
      <w:r>
        <w:rPr>
          <w:b w:val="0"/>
          <w:i w:val="0"/>
        </w:rPr>
        <w:t>발급신청 &gt; 소득확인 증명서 신청</w:t>
      </w:r>
      <w:r>
        <w:t xml:space="preserve"> </w:t>
      </w:r>
      <w:r>
        <w:rPr>
          <w:b w:val="0"/>
          <w:i w:val="0"/>
        </w:rPr>
        <w:t>· 발급신청 시 필수설정</w:t>
      </w:r>
    </w:p>
    <w:p>
      <w:pPr>
        <w:pStyle w:val="ListBullet"/>
      </w:pPr>
      <w:r>
        <w:rPr>
          <w:b w:val="0"/>
          <w:i w:val="0"/>
        </w:rPr>
        <w:t>사용용도/제출처: 금융기관 제출용/금융기관</w:t>
      </w:r>
    </w:p>
    <w:p>
      <w:pPr>
        <w:pStyle w:val="ListBullet"/>
      </w:pPr>
      <w:r>
        <w:rPr>
          <w:b w:val="0"/>
          <w:i w:val="0"/>
        </w:rPr>
        <w:t>수령방법: 인터넷 발급(프린트 출력) 선택</w:t>
      </w:r>
      <w:r>
        <w:t xml:space="preserve"> </w:t>
      </w:r>
      <w:r>
        <w:rPr>
          <w:b w:val="0"/>
          <w:i w:val="0"/>
        </w:rPr>
        <w:t>· 제출기한: 발급일 기준 90일 이내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확인]</w:t>
      </w:r>
    </w:p>
    <w:p>
      <w:r>
        <w:rPr>
          <w:b/>
          <w:i w:val="0"/>
        </w:rPr>
        <w:t>변경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타이틀을 "행동 유도" 문장으로 전환</w:t>
      </w:r>
    </w:p>
    <w:p>
      <w:pPr>
        <w:pStyle w:val="ListBullet"/>
      </w:pPr>
      <w:r>
        <w:rPr>
          <w:b w:val="0"/>
          <w:i w:val="0"/>
        </w:rPr>
        <w:t>불릿(·) &gt; 붙임표(-) 위계 명확화</w:t>
      </w:r>
    </w:p>
    <w:p>
      <w:pPr>
        <w:pStyle w:val="ListBullet"/>
      </w:pPr>
      <w:r>
        <w:rPr>
          <w:b w:val="0"/>
          <w:i w:val="0"/>
        </w:rPr>
        <w:t>"必"·"선택" 같은 한자 표현 제거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타이틀 "무엇을 어떻게" 관점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한도제한계좌 안내</w:t>
      </w:r>
      <w:r>
        <w:rPr>
          <w:b w:val="0"/>
          <w:i w:val="0"/>
        </w:rPr>
        <w:t xml:space="preserve"> (무엇을, 어떻게가 빠짐)</w:t>
      </w:r>
    </w:p>
    <w:p>
      <w:pPr>
        <w:pStyle w:val="ListBullet"/>
      </w:pPr>
      <w:r>
        <w:rPr>
          <w:b w:val="0"/>
          <w:i w:val="0"/>
        </w:rPr>
        <w:t xml:space="preserve">⭕ </w:t>
      </w:r>
      <w:r>
        <w:rPr>
          <w:rFonts w:ascii="Consolas" w:hAnsi="Consolas"/>
        </w:rPr>
        <w:t>안전한 금융 거래를 위해 이체/출금한도가 제한됩니다</w:t>
      </w:r>
      <w:r>
        <w:rPr>
          <w:b w:val="0"/>
          <w:i w:val="0"/>
        </w:rPr>
        <w:t xml:space="preserve"> (왜+결과)</w:t>
      </w:r>
    </w:p>
    <w:p>
      <w:pPr>
        <w:pStyle w:val="Heading3"/>
      </w:pPr>
      <w:r>
        <w:t>본문 문체 혼용</w:t>
      </w:r>
    </w:p>
    <w:p>
      <w:pPr>
        <w:pStyle w:val="ListBullet"/>
      </w:pPr>
      <w:r>
        <w:rPr>
          <w:b w:val="0"/>
          <w:i w:val="0"/>
        </w:rPr>
        <w:t>기본: 하십시오체</w:t>
      </w:r>
    </w:p>
    <w:p>
      <w:pPr>
        <w:pStyle w:val="ListBullet"/>
      </w:pPr>
      <w:r>
        <w:rPr>
          <w:b w:val="0"/>
          <w:i w:val="0"/>
        </w:rPr>
        <w:t xml:space="preserve">행동 유도: </w:t>
      </w:r>
      <w:r>
        <w:rPr>
          <w:rFonts w:ascii="Consolas" w:hAnsi="Consolas"/>
        </w:rPr>
        <w:t>~해 주세요</w:t>
      </w:r>
    </w:p>
    <w:p>
      <w:pPr>
        <w:pStyle w:val="ListBullet"/>
      </w:pPr>
      <w:r>
        <w:rPr>
          <w:b w:val="0"/>
          <w:i w:val="0"/>
        </w:rPr>
        <w:t>세부 항목: 명사형 (동사 제거, 키워드 중심)</w:t>
      </w:r>
    </w:p>
    <w:p>
      <w:pPr>
        <w:pStyle w:val="Heading3"/>
      </w:pPr>
      <w:r>
        <w:t>구분 기호 위계</w:t>
      </w:r>
    </w:p>
    <w:p>
      <w:pPr>
        <w:ind w:left="400"/>
      </w:pPr>
      <w:r>
        <w:rPr>
          <w:b w:val="0"/>
          <w:i w:val="0"/>
        </w:rPr>
        <w:t>상위 항목 → ·</w:t>
      </w:r>
      <w:r>
        <w:t xml:space="preserve"> </w:t>
      </w:r>
      <w:r>
        <w:rPr>
          <w:b w:val="0"/>
          <w:i w:val="0"/>
        </w:rPr>
        <w:t>하위 세부 → -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95p</w:t>
      </w:r>
      <w:r>
        <w:rPr>
          <w:b w:val="0"/>
          <w:i w:val="0"/>
        </w:rPr>
        <w:t xml:space="preserve"> — 안내형 바텀시트 2 케이스 레이아웃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