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오류 메시지 — 문제 원인과 해결방법을 명확히 안내해 고객이 안심하고 다시 시도할 수 있도록 돕는 메시지</w:t>
      </w:r>
    </w:p>
    <w:p>
      <w:pPr>
        <w:pStyle w:val="Heading2"/>
      </w:pPr>
      <w:r>
        <w:t>🎯 핵심 규칙 (가이드 100p)</w:t>
      </w:r>
    </w:p>
    <w:p>
      <w:pPr>
        <w:pStyle w:val="ListNumber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: 고객이 상황을 즉시 이해하고 조치를 취할 수 있도록 </w:t>
      </w:r>
      <w:r>
        <w:rPr>
          <w:b/>
          <w:i w:val="0"/>
        </w:rPr>
        <w:t>명확한 행동 중심의 문장형 또는 명사형</w:t>
      </w:r>
    </w:p>
    <w:p>
      <w:pPr>
        <w:pStyle w:val="ListNumber"/>
      </w:pPr>
      <w:r>
        <w:rPr>
          <w:b/>
          <w:i w:val="0"/>
        </w:rPr>
        <w:t>본문</w:t>
      </w:r>
      <w:r>
        <w:rPr>
          <w:b w:val="0"/>
          <w:i w:val="0"/>
        </w:rPr>
        <w:t xml:space="preserve">: </w:t>
      </w:r>
      <w:r>
        <w:rPr>
          <w:b/>
          <w:i w:val="0"/>
        </w:rPr>
        <w:t>'하십시오체' 기본</w:t>
      </w:r>
      <w:r>
        <w:rPr>
          <w:b w:val="0"/>
          <w:i w:val="0"/>
        </w:rPr>
        <w:t xml:space="preserve">, </w:t>
      </w:r>
      <w:r>
        <w:rPr>
          <w:b/>
          <w:i w:val="0"/>
        </w:rPr>
        <w:t>오류 원인 &gt; 해결방법</w:t>
      </w:r>
      <w:r>
        <w:rPr>
          <w:b w:val="0"/>
          <w:i w:val="0"/>
        </w:rPr>
        <w:t xml:space="preserve"> 순서</w:t>
      </w:r>
    </w:p>
    <w:p>
      <w:pPr>
        <w:pStyle w:val="ListNumber"/>
      </w:pPr>
      <w:r>
        <w:rPr>
          <w:b/>
          <w:i w:val="0"/>
        </w:rPr>
        <w:t>행동 요청 문구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~해 주세요</w:t>
      </w:r>
      <w:r>
        <w:rPr>
          <w:b w:val="0"/>
          <w:i w:val="0"/>
        </w:rPr>
        <w:t xml:space="preserve"> — 예: </w:t>
      </w:r>
      <w:r>
        <w:rPr>
          <w:rFonts w:ascii="Consolas" w:hAnsi="Consolas"/>
        </w:rPr>
        <w:t>다시 시도해 주세요</w:t>
      </w:r>
    </w:p>
    <w:p>
      <w:pPr>
        <w:pStyle w:val="ListNumber"/>
      </w:pPr>
      <w:r>
        <w:rPr>
          <w:b/>
          <w:i w:val="0"/>
        </w:rPr>
        <w:t>실패·오류 등 부정적인 단어는 최대한 사용하지 않고 행동 중심으로 안내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비밀번호 인증에 실패하였습니다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비밀번호를 잘못 입력했습니다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비밀번호 오류회수 초과로 로그인이 불가합니다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비밀번호 입력 횟수를 초과했습니다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Recovery Message 3원리 (가이드 100p)</w:t>
      </w:r>
    </w:p>
    <w:p>
      <w:r>
        <w:rPr>
          <w:b w:val="0"/>
          <w:i w:val="0"/>
        </w:rPr>
        <w:t xml:space="preserve">오류 메시지는 </w:t>
      </w:r>
      <w:r>
        <w:rPr>
          <w:b/>
          <w:i w:val="0"/>
        </w:rPr>
        <w:t>실패만 알리는 문장이 아니라, '회복 가능한 문제임'을 알려주는 안내</w:t>
      </w:r>
      <w:r>
        <w:rPr>
          <w:b w:val="0"/>
          <w:i w:val="0"/>
        </w:rPr>
        <w:t>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원리</w:t>
            </w:r>
          </w:p>
        </w:tc>
        <w:tc>
          <w:tcPr>
            <w:tcW w:type="dxa" w:w="4320"/>
          </w:tcPr>
          <w:p>
            <w:r>
              <w:t>의미</w:t>
            </w:r>
          </w:p>
        </w:tc>
      </w:tr>
      <w:tr>
        <w:tc>
          <w:tcPr>
            <w:tcW w:type="dxa" w:w="4320"/>
          </w:tcPr>
          <w:p>
            <w:r>
              <w:t>원인</w:t>
            </w:r>
          </w:p>
        </w:tc>
        <w:tc>
          <w:tcPr>
            <w:tcW w:type="dxa" w:w="4320"/>
          </w:tcPr>
          <w:p>
            <w:r>
              <w:t>무엇이 왜 일어났는지</w:t>
            </w:r>
          </w:p>
        </w:tc>
      </w:tr>
      <w:tr>
        <w:tc>
          <w:tcPr>
            <w:tcW w:type="dxa" w:w="4320"/>
          </w:tcPr>
          <w:p>
            <w:r>
              <w:t>해결</w:t>
            </w:r>
          </w:p>
        </w:tc>
        <w:tc>
          <w:tcPr>
            <w:tcW w:type="dxa" w:w="4320"/>
          </w:tcPr>
          <w:p>
            <w:r>
              <w:t>어떻게 복구할 수 있는지</w:t>
            </w:r>
          </w:p>
        </w:tc>
      </w:tr>
      <w:tr>
        <w:tc>
          <w:tcPr>
            <w:tcW w:type="dxa" w:w="4320"/>
          </w:tcPr>
          <w:p>
            <w:r>
              <w:t>재시도</w:t>
            </w:r>
          </w:p>
        </w:tc>
        <w:tc>
          <w:tcPr>
            <w:tcW w:type="dxa" w:w="4320"/>
          </w:tcPr>
          <w:p>
            <w:r>
              <w:t>다시 할 수 있음을 명시</w:t>
            </w:r>
          </w:p>
        </w:tc>
      </w:tr>
    </w:tbl>
    <w:p>
      <w:r>
        <w:rPr>
          <w:b w:val="0"/>
          <w:i w:val="0"/>
        </w:rPr>
        <w:t xml:space="preserve">세 가지가 포함되어야 고객은 '막힘'이 아닌 </w:t>
      </w:r>
      <w:r>
        <w:rPr>
          <w:b/>
          <w:i w:val="0"/>
        </w:rPr>
        <w:t>'이해와 신뢰'</w:t>
      </w:r>
      <w:r>
        <w:rPr>
          <w:b w:val="0"/>
          <w:i w:val="0"/>
        </w:rPr>
        <w:t>를 경험.</w:t>
      </w:r>
    </w:p>
    <w:p>
      <w:r>
        <w:rPr>
          <w:b w:val="0"/>
          <w:i w:val="0"/>
        </w:rPr>
        <w:t xml:space="preserve">📚 출처: Nielsen Norman Group, </w:t>
      </w:r>
      <w:r/>
      <w:r>
        <w:rPr>
          <w:b w:val="0"/>
          <w:i w:val="0"/>
        </w:rPr>
        <w:t>, 2023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(가이드 100p)</w:t>
      </w:r>
    </w:p>
    <w:p>
      <w:pPr>
        <w:pStyle w:val="Heading3"/>
      </w:pPr>
      <w:r>
        <w:t>케이스 1 — 문장형 (해결·제한 설명)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 (타이틀이 불친절·명령조):</w:t>
      </w:r>
    </w:p>
    <w:p>
      <w:pPr>
        <w:ind w:left="400"/>
      </w:pPr>
      <w:r>
        <w:rPr>
          <w:b w:val="0"/>
          <w:i w:val="0"/>
        </w:rPr>
        <w:t>전일종가 미존재 종목으로 등록불가</w:t>
      </w:r>
      <w:r>
        <w:t xml:space="preserve"> </w:t>
      </w:r>
      <w:r>
        <w:rPr>
          <w:b w:val="0"/>
          <w:i w:val="0"/>
        </w:rPr>
        <w:t>(ex. 신규상장/폐지 등)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다른 종목을 선택해 주세요     ← 타이틀 (해결 방법 제시)</w:t>
      </w:r>
      <w:r>
        <w:t xml:space="preserve"> </w:t>
      </w:r>
      <w:r>
        <w:rPr>
          <w:b w:val="0"/>
          <w:i w:val="0"/>
        </w:rPr>
        <w:t>전일 종가가 없는 종목은 등록할 수 없습니다.</w:t>
      </w:r>
      <w:r>
        <w:t xml:space="preserve"> </w:t>
      </w:r>
      <w:r>
        <w:rPr>
          <w:b w:val="0"/>
          <w:i w:val="0"/>
        </w:rPr>
        <w:t>(예: 신규 상장, 폐지 예정 종목)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pPr>
        <w:pStyle w:val="Heading3"/>
      </w:pPr>
      <w:r>
        <w:t>케이스 2 — 명사형 (상태 정의 + 재시도)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간편인증 PIN 입력</w:t>
      </w:r>
      <w:r>
        <w:t xml:space="preserve"> </w:t>
      </w:r>
      <w:r>
        <w:rPr>
          <w:b w:val="0"/>
          <w:i w:val="0"/>
        </w:rPr>
        <w:t>간편인증 PIN 검증에 실패하였습니다.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간편인증 PIN번호 입력        ← 타이틀 (상태 정의)</w:t>
      </w:r>
      <w:r>
        <w:t xml:space="preserve"> </w:t>
      </w:r>
      <w:r>
        <w:rPr>
          <w:b w:val="0"/>
          <w:i w:val="0"/>
        </w:rPr>
        <w:t>PIN번호를 잘못 입력했습니다. (1/N)</w:t>
      </w:r>
      <w:r>
        <w:t xml:space="preserve"> </w:t>
      </w:r>
      <w:r>
        <w:rPr>
          <w:b w:val="0"/>
          <w:i w:val="0"/>
        </w:rPr>
        <w:t>확인 후 다시 입력해 주세요.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긍정·행동 중심 언어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금지</w:t>
            </w:r>
          </w:p>
        </w:tc>
        <w:tc>
          <w:tcPr>
            <w:tcW w:type="dxa" w:w="4320"/>
          </w:tcPr>
          <w:p>
            <w:r>
              <w:t>대체</w:t>
            </w:r>
          </w:p>
        </w:tc>
      </w:tr>
      <w:tr>
        <w:tc>
          <w:tcPr>
            <w:tcW w:type="dxa" w:w="4320"/>
          </w:tcPr>
          <w:p>
            <w:r>
              <w:t>실패하였습니다</w:t>
            </w:r>
          </w:p>
        </w:tc>
        <w:tc>
          <w:tcPr>
            <w:tcW w:type="dxa" w:w="4320"/>
          </w:tcPr>
          <w:p>
            <w:r>
              <w:t>잘못 입력했습니다</w:t>
            </w:r>
          </w:p>
        </w:tc>
      </w:tr>
      <w:tr>
        <w:tc>
          <w:tcPr>
            <w:tcW w:type="dxa" w:w="4320"/>
          </w:tcPr>
          <w:p>
            <w:r>
              <w:t>불가합니다</w:t>
            </w:r>
          </w:p>
        </w:tc>
        <w:tc>
          <w:tcPr>
            <w:tcW w:type="dxa" w:w="4320"/>
          </w:tcPr>
          <w:p>
            <w:r>
              <w:t>할 수 없습니다 / 다시 시도해 주세요</w:t>
            </w:r>
          </w:p>
        </w:tc>
      </w:tr>
      <w:tr>
        <w:tc>
          <w:tcPr>
            <w:tcW w:type="dxa" w:w="4320"/>
          </w:tcPr>
          <w:p>
            <w:r>
              <w:t>오류 발생</w:t>
            </w:r>
          </w:p>
        </w:tc>
        <w:tc>
          <w:tcPr>
            <w:tcW w:type="dxa" w:w="4320"/>
          </w:tcPr>
          <w:p>
            <w:r>
              <w:t>잠시 후 다시 시도해 주세요</w:t>
            </w:r>
          </w:p>
        </w:tc>
      </w:tr>
      <w:tr>
        <w:tc>
          <w:tcPr>
            <w:tcW w:type="dxa" w:w="4320"/>
          </w:tcPr>
          <w:p>
            <w:r>
              <w:t>제한 초과</w:t>
            </w:r>
          </w:p>
        </w:tc>
        <w:tc>
          <w:tcPr>
            <w:tcW w:type="dxa" w:w="4320"/>
          </w:tcPr>
          <w:p>
            <w:r>
              <w:t>입력 횟수를 초과했습니다</w:t>
            </w:r>
          </w:p>
        </w:tc>
      </w:tr>
    </w:tbl>
    <w:p>
      <w:pPr>
        <w:pStyle w:val="Heading3"/>
      </w:pPr>
      <w:r>
        <w:t>타이틀 2유형</w:t>
      </w:r>
    </w:p>
    <w:p>
      <w:pPr>
        <w:pStyle w:val="ListBullet"/>
      </w:pPr>
      <w:r>
        <w:rPr>
          <w:b/>
          <w:i w:val="0"/>
        </w:rPr>
        <w:t>문장형</w:t>
      </w:r>
      <w:r>
        <w:rPr>
          <w:b w:val="0"/>
          <w:i w:val="0"/>
        </w:rPr>
        <w:t xml:space="preserve">: 해결 방법 제시 → </w:t>
      </w:r>
      <w:r>
        <w:rPr>
          <w:rFonts w:ascii="Consolas" w:hAnsi="Consolas"/>
        </w:rPr>
        <w:t>다른 종목을 선택해 주세요</w:t>
      </w:r>
    </w:p>
    <w:p>
      <w:pPr>
        <w:pStyle w:val="ListBullet"/>
      </w:pPr>
      <w:r>
        <w:rPr>
          <w:b/>
          <w:i w:val="0"/>
        </w:rPr>
        <w:t>명사형</w:t>
      </w:r>
      <w:r>
        <w:rPr>
          <w:b w:val="0"/>
          <w:i w:val="0"/>
        </w:rPr>
        <w:t xml:space="preserve">: 오류 상태 정의 → </w:t>
      </w:r>
      <w:r>
        <w:rPr>
          <w:rFonts w:ascii="Consolas" w:hAnsi="Consolas"/>
        </w:rPr>
        <w:t>간편인증 PIN번호 입력</w:t>
      </w:r>
    </w:p>
    <w:p>
      <w:pPr>
        <w:pStyle w:val="Heading3"/>
      </w:pPr>
      <w:r>
        <w:t>본문 3원리 구조</w:t>
      </w:r>
    </w:p>
    <w:p>
      <w:pPr>
        <w:ind w:left="400"/>
      </w:pPr>
      <w:r>
        <w:rPr>
          <w:b w:val="0"/>
          <w:i w:val="0"/>
        </w:rPr>
        <w:t>(원인) 전일 종가가 없는 종목은 등록할 수 없습니다.</w:t>
      </w:r>
      <w:r>
        <w:t xml:space="preserve"> </w:t>
      </w:r>
      <w:r>
        <w:rPr>
          <w:b w:val="0"/>
          <w:i w:val="0"/>
        </w:rPr>
        <w:t>(해결) 다른 종목을 선택해 주세요.</w:t>
      </w:r>
      <w:r>
        <w:t xml:space="preserve"> </w:t>
      </w:r>
      <w:r>
        <w:rPr>
          <w:b w:val="0"/>
          <w:i w:val="0"/>
        </w:rPr>
        <w:t>(재시도) 확인 후 다시 입력해 주세요.</w:t>
      </w:r>
    </w:p>
    <w:p>
      <w:pPr>
        <w:pStyle w:val="Heading3"/>
      </w:pPr>
      <w:r>
        <w:t>시도 횟수 표시 (보안 민감)</w:t>
      </w:r>
    </w:p>
    <w:p>
      <w:pPr>
        <w:pStyle w:val="ListBullet"/>
      </w:pPr>
      <w:r>
        <w:rPr>
          <w:rFonts w:ascii="Consolas" w:hAnsi="Consolas"/>
        </w:rPr>
        <w:t>(1/N)</w:t>
      </w:r>
      <w:r>
        <w:rPr>
          <w:b w:val="0"/>
          <w:i w:val="0"/>
        </w:rPr>
        <w:t xml:space="preserve"> 형식으로 잔여 기회 명시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PIN번호를 잘못 입력했습니다. (1/5)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100p</w:t>
      </w:r>
      <w:r>
        <w:rPr>
          <w:b w:val="0"/>
          <w:i w:val="0"/>
        </w:rPr>
        <w:t xml:space="preserve"> — 오류 메시지 2 케이스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