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ura-64---at-taghābun"/>
      <w:bookmarkEnd w:id="21"/>
      <w:r>
        <w:t xml:space="preserve">Sura 64 -</w:t>
      </w:r>
      <w:r>
        <w:t xml:space="preserve"> </w:t>
      </w:r>
      <w:r>
        <w:rPr>
          <w:i/>
        </w:rPr>
        <w:t xml:space="preserve">at-Taghābun</w:t>
      </w:r>
    </w:p>
    <w:p>
      <w:pPr>
        <w:pStyle w:val="Heading1"/>
      </w:pPr>
      <w:bookmarkStart w:id="22" w:name="التغابن"/>
      <w:bookmarkEnd w:id="22"/>
      <w:r>
        <w:t xml:space="preserve">التغابن</w:t>
      </w:r>
    </w:p>
    <w:p>
      <w:pPr>
        <w:pStyle w:val="FirstParagraph"/>
      </w:pPr>
      <w:r>
        <w:t xml:space="preserve">Sura 64, known as</w:t>
      </w:r>
      <w:r>
        <w:t xml:space="preserve"> </w:t>
      </w:r>
      <w:r>
        <w:rPr>
          <w:i/>
        </w:rPr>
        <w:t xml:space="preserve">at-Taghābun</w:t>
      </w:r>
      <w:r>
        <w:t xml:space="preserve">, translated as</w:t>
      </w:r>
      <w:r>
        <w:t xml:space="preserve"> </w:t>
      </w:r>
      <w:r>
        <w:t xml:space="preserve">“</w:t>
      </w:r>
      <w:r>
        <w:t xml:space="preserve">Loss and Gain</w:t>
      </w:r>
      <w:r>
        <w:t xml:space="preserve">”</w:t>
      </w:r>
      <w:r>
        <w:t xml:space="preserve"> </w:t>
      </w:r>
      <w:r>
        <w:t xml:space="preserve">or alternatively</w:t>
      </w:r>
      <w:r>
        <w:t xml:space="preserve"> </w:t>
      </w:r>
      <w:r>
        <w:t xml:space="preserve">“</w:t>
      </w:r>
      <w:r>
        <w:t xml:space="preserve">Loss, Deprivation</w:t>
      </w:r>
      <w:r>
        <w:t xml:space="preserve">”</w:t>
      </w:r>
      <w:r>
        <w:t xml:space="preserve">, takes its name from the ninth verse, in the center of the sura. It is generally associated with the Medina period. It is one of the</w:t>
      </w:r>
      <w:r>
        <w:t xml:space="preserve"> </w:t>
      </w:r>
      <w:r>
        <w:rPr>
          <w:i/>
        </w:rPr>
        <w:t xml:space="preserve">Al-Musabbihat</w:t>
      </w:r>
      <w:r>
        <w:t xml:space="preserve"> </w:t>
      </w:r>
      <w:r>
        <w:t xml:space="preserve">suras, according to Mufti Muhammad Shafi, that begin with Allah’s glorification, along with</w:t>
      </w:r>
      <w:r>
        <w:t xml:space="preserve"> </w:t>
      </w:r>
      <w:r>
        <w:rPr>
          <w:i/>
        </w:rPr>
        <w:t xml:space="preserve">Al-Ḥadīd</w:t>
      </w:r>
      <w:r>
        <w:t xml:space="preserve"> </w:t>
      </w:r>
      <w:r>
        <w:t xml:space="preserve">(57) الحديد,</w:t>
      </w:r>
      <w:r>
        <w:t xml:space="preserve"> </w:t>
      </w:r>
      <w:r>
        <w:rPr>
          <w:i/>
        </w:rPr>
        <w:t xml:space="preserve">Al-Ḥashr</w:t>
      </w:r>
      <w:r>
        <w:t xml:space="preserve"> </w:t>
      </w:r>
      <w:r>
        <w:t xml:space="preserve">(59) الحشر,</w:t>
      </w:r>
      <w:r>
        <w:t xml:space="preserve"> </w:t>
      </w:r>
      <w:r>
        <w:rPr>
          <w:i/>
        </w:rPr>
        <w:t xml:space="preserve">Aṣ-Ṣaff</w:t>
      </w:r>
      <w:r>
        <w:t xml:space="preserve"> </w:t>
      </w:r>
      <w:r>
        <w:t xml:space="preserve">(61) الصف, and</w:t>
      </w:r>
      <w:r>
        <w:t xml:space="preserve"> </w:t>
      </w:r>
      <w:r>
        <w:rPr>
          <w:i/>
        </w:rPr>
        <w:t xml:space="preserve">Al-Jumu`ah</w:t>
      </w:r>
      <w:r>
        <w:t xml:space="preserve"> </w:t>
      </w:r>
      <w:r>
        <w:t xml:space="preserve">(62) الجمعة, and sometimes</w:t>
      </w:r>
      <w:r>
        <w:t xml:space="preserve"> </w:t>
      </w:r>
      <w:r>
        <w:rPr>
          <w:i/>
        </w:rPr>
        <w:t xml:space="preserve">Al-Isrāʼ</w:t>
      </w:r>
      <w:r>
        <w:t xml:space="preserve"> </w:t>
      </w:r>
      <w:r>
        <w:t xml:space="preserve">(17) الإسراء and</w:t>
      </w:r>
      <w:r>
        <w:t xml:space="preserve"> </w:t>
      </w:r>
      <w:hyperlink r:id="rId23">
        <w:r>
          <w:rPr>
            <w:i/>
            <w:rStyle w:val="Hyperlink"/>
          </w:rPr>
          <w:t xml:space="preserve">Al-Aʻlā</w:t>
        </w:r>
        <w:r>
          <w:rPr>
            <w:rStyle w:val="Hyperlink"/>
          </w:rPr>
          <w:t xml:space="preserve"> </w:t>
        </w:r>
        <w:r>
          <w:rPr>
            <w:rStyle w:val="Hyperlink"/>
          </w:rPr>
          <w:t xml:space="preserve">(87) الأعلى</w:t>
        </w:r>
      </w:hyperlink>
      <w:r>
        <w:t xml:space="preserve">.</w:t>
      </w:r>
    </w:p>
    <w:p>
      <w:pPr>
        <w:pStyle w:val="BodyText"/>
      </w:pPr>
      <w:r>
        <w:t xml:space="preserve">Like most suras, this one also consists of a tripartite structure. The first part consists of four verses addressed to all people. These are the jewels of this sura. The middle part, consisting of six verses, is addressed to those who do not believe in the Qur’an. Finally, the last part, consisting of eight verses, are instructions to those who accept the Qur’an, and are the pearls of this sura.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36b7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quran/sura-1.md" TargetMode="External" /></Relationships>
</file>

<file path=word/_rels/footnotes.xml.rels><?xml version="1.0" encoding="UTF-8"?>
<Relationships xmlns="http://schemas.openxmlformats.org/package/2006/relationships"><Relationship Type="http://schemas.openxmlformats.org/officeDocument/2006/relationships/hyperlink" Id="rId23" Target="/quran/sura-1.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