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Arial" w:hAnsi="Arial"/>
          <w:b/>
          <w:color w:val="1A365D"/>
          <w:sz w:val="28"/>
        </w:rPr>
        <w:t>SAVITRIBAI PHULE PUNE UNIVERSITY</w:t>
        <w:br/>
        <w:t>DEPARTMENT OF COMPUTER ENGINEERING</w:t>
        <w:br/>
      </w:r>
      <w:r>
        <w:rPr>
          <w:rFonts w:ascii="Arial" w:hAnsi="Arial"/>
          <w:b/>
          <w:color w:val="2B6CB0"/>
          <w:sz w:val="24"/>
        </w:rPr>
        <w:t>LABORATORY PRACTICE IV (CSDF) - MINI PROJECT REPORT</w:t>
        <w:br/>
      </w:r>
    </w:p>
    <w:tbl>
      <w:tblPr>
        <w:tblW w:type="auto" w:w="0"/>
        <w:jc w:val="center"/>
        <w:tblLook w:firstColumn="1" w:firstRow="1" w:lastColumn="0" w:lastRow="0" w:noHBand="0" w:noVBand="1" w:val="04A0"/>
      </w:tblPr>
      <w:tblGrid>
        <w:gridCol w:w="9360"/>
      </w:tblGrid>
      <w:tr>
        <w:tc>
          <w:tcPr>
            <w:tcW w:type="dxa" w:w="9360"/>
            <w:shd w:fill="1A365D"/>
          </w:tcPr>
          <w:p>
            <w:pPr>
              <w:spacing w:before="40" w:after="40"/>
            </w:pPr>
          </w:p>
        </w:tc>
      </w:tr>
    </w:tbl>
    <w:p>
      <w:pPr>
        <w:spacing w:before="720" w:after="240"/>
        <w:jc w:val="center"/>
      </w:pPr>
      <w:r>
        <w:rPr>
          <w:rFonts w:ascii="Arial" w:hAnsi="Arial"/>
          <w:b/>
          <w:color w:val="1A365D"/>
          <w:sz w:val="44"/>
        </w:rPr>
        <w:t>BLOCKCHAIN SMART CONTRACT HONEYPOT ATTACK DETECTOR</w:t>
        <w:br/>
      </w:r>
      <w:r>
        <w:rPr>
          <w:rFonts w:ascii="Arial" w:hAnsi="Arial"/>
          <w:i/>
          <w:color w:val="2B6CB0"/>
          <w:sz w:val="26"/>
        </w:rPr>
        <w:t>A Dual-Engine Static Analysis &amp; Machine Learning Auditing Platform for EVM Honeypot Detection</w:t>
      </w:r>
    </w:p>
    <w:p>
      <w:pPr>
        <w:spacing w:before="1200" w:after="800"/>
        <w:jc w:val="center"/>
      </w:pPr>
      <w:r>
        <w:rPr>
          <w:rFonts w:ascii="Arial" w:hAnsi="Arial"/>
          <w:color w:val="2D3748"/>
          <w:sz w:val="22"/>
        </w:rPr>
        <w:t>Submitted in partial fulfillment of the requirements for the degree of</w:t>
        <w:br/>
        <w:t>Bachelor of Engineering in Computer Engineering</w:t>
        <w:br/>
        <w:br/>
        <w:t>Domain: Cyber Security and Digital Forensics (CSDF)</w:t>
        <w:br/>
        <w:t>Evaluation Term: 2025 - 2026</w:t>
        <w:br/>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left w:val="single" w:sz="24" w:space="0" w:color="2B6CB0"/>
              <w:bottom w:val="none"/>
              <w:right w:val="none"/>
            </w:tcBorders>
          </w:tcPr>
          <w:p>
            <w:pPr>
              <w:spacing w:before="40" w:after="40" w:line="276" w:lineRule="auto"/>
            </w:pPr>
            <w:r>
              <w:rPr>
                <w:rFonts w:ascii="Arial" w:hAnsi="Arial"/>
                <w:b/>
                <w:color w:val="1A365D"/>
                <w:sz w:val="21"/>
              </w:rPr>
              <w:t>📌 Project Abstract &amp; Forensic Premise</w:t>
              <w:br/>
            </w:r>
            <w:r>
              <w:rPr>
                <w:rFonts w:ascii="Arial" w:hAnsi="Arial"/>
                <w:i/>
                <w:color w:val="2D3748"/>
                <w:sz w:val="20"/>
              </w:rPr>
              <w:t>"DeFi permissionless architectures allow anyone to deploy fraudulent smart contracts. This platform unites deterministic AST static analysis with 19-dimensional machine learning to deliver explainable, verifiable honeypot risk assessment for digital forensics investigators."</w:t>
            </w:r>
          </w:p>
        </w:tc>
      </w:tr>
    </w:tbl>
    <w:p>
      <w:pPr>
        <w:spacing w:before="0" w:after="80"/>
      </w:pPr>
    </w:p>
    <w:p>
      <w:r>
        <w:br w:type="page"/>
      </w:r>
    </w:p>
    <w:p>
      <w:pPr>
        <w:pStyle w:val="Heading1"/>
        <w:keepNext/>
        <w:spacing w:before="400" w:after="160"/>
      </w:pPr>
      <w:r>
        <w:rPr>
          <w:rFonts w:ascii="Arial" w:hAnsi="Arial"/>
          <w:b/>
          <w:color w:val="1A365D"/>
          <w:sz w:val="34"/>
        </w:rPr>
        <w:t>Table of Contents &amp; Evaluation Roadmap</w:t>
      </w:r>
    </w:p>
    <w:p>
      <w:pPr>
        <w:spacing w:before="0" w:after="120" w:line="288" w:lineRule="auto"/>
      </w:pPr>
      <w:r>
        <w:rPr>
          <w:rFonts w:ascii="Arial" w:hAnsi="Arial"/>
          <w:color w:val="2D3748"/>
          <w:sz w:val="21"/>
        </w:rPr>
        <w:t>This comprehensive mini-project report is organized strictly into six exhaustive sections as specified by the Cyber Security and Digital Forensics (CSDF) project guidelines. Each section provides an in-depth, rigorous, multi-page technical analysis supported by architectural schematics, formal mathematical equations, pseudocode listings, tabular benchmark comparisons, and empirical case study results.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864"/>
            <w:shd w:fill="1A365D"/>
            <w:tcMar>
              <w:top w:w="120" w:type="dxa"/>
              <w:bottom w:w="120" w:type="dxa"/>
              <w:left w:w="140" w:type="dxa"/>
              <w:right w:w="140" w:type="dxa"/>
            </w:tcMar>
          </w:tcPr>
          <w:p>
            <w:pPr>
              <w:jc w:val="center"/>
            </w:pPr>
            <w:r>
              <w:rPr>
                <w:rFonts w:ascii="Arial" w:hAnsi="Arial"/>
                <w:b/>
                <w:color w:val="FFFFFF"/>
                <w:sz w:val="19"/>
              </w:rPr>
              <w:t>Sec</w:t>
            </w:r>
          </w:p>
        </w:tc>
        <w:tc>
          <w:tcPr>
            <w:tcW w:type="dxa" w:w="3456"/>
            <w:shd w:fill="1A365D"/>
            <w:tcMar>
              <w:top w:w="120" w:type="dxa"/>
              <w:bottom w:w="120" w:type="dxa"/>
              <w:left w:w="140" w:type="dxa"/>
              <w:right w:w="140" w:type="dxa"/>
            </w:tcMar>
          </w:tcPr>
          <w:p>
            <w:pPr>
              <w:jc w:val="center"/>
            </w:pPr>
            <w:r>
              <w:rPr>
                <w:rFonts w:ascii="Arial" w:hAnsi="Arial"/>
                <w:b/>
                <w:color w:val="FFFFFF"/>
                <w:sz w:val="19"/>
              </w:rPr>
              <w:t>Section Title</w:t>
            </w:r>
          </w:p>
        </w:tc>
        <w:tc>
          <w:tcPr>
            <w:tcW w:type="dxa" w:w="3888"/>
            <w:shd w:fill="1A365D"/>
            <w:tcMar>
              <w:top w:w="120" w:type="dxa"/>
              <w:bottom w:w="120" w:type="dxa"/>
              <w:left w:w="140" w:type="dxa"/>
              <w:right w:w="140" w:type="dxa"/>
            </w:tcMar>
          </w:tcPr>
          <w:p>
            <w:pPr>
              <w:jc w:val="center"/>
            </w:pPr>
            <w:r>
              <w:rPr>
                <w:rFonts w:ascii="Arial" w:hAnsi="Arial"/>
                <w:b/>
                <w:color w:val="FFFFFF"/>
                <w:sz w:val="19"/>
              </w:rPr>
              <w:t>Key Technical Topics Covered</w:t>
            </w:r>
          </w:p>
        </w:tc>
        <w:tc>
          <w:tcPr>
            <w:tcW w:type="dxa" w:w="1152"/>
            <w:shd w:fill="1A365D"/>
            <w:tcMar>
              <w:top w:w="120" w:type="dxa"/>
              <w:bottom w:w="120" w:type="dxa"/>
              <w:left w:w="140" w:type="dxa"/>
              <w:right w:w="140" w:type="dxa"/>
            </w:tcMar>
          </w:tcPr>
          <w:p>
            <w:pPr>
              <w:jc w:val="center"/>
            </w:pPr>
            <w:r>
              <w:rPr>
                <w:rFonts w:ascii="Arial" w:hAnsi="Arial"/>
                <w:b/>
                <w:color w:val="FFFFFF"/>
                <w:sz w:val="19"/>
              </w:rPr>
              <w:t>Index</w:t>
            </w:r>
          </w:p>
        </w:tc>
      </w:tr>
      <w:tr>
        <w:trPr>
          <w:cantSplit/>
        </w:trPr>
        <w:tc>
          <w:tcPr>
            <w:tcW w:type="dxa" w:w="864"/>
            <w:shd w:fill="FFFFFF"/>
            <w:tcMar>
              <w:top w:w="100" w:type="dxa"/>
              <w:bottom w:w="100" w:type="dxa"/>
              <w:left w:w="140" w:type="dxa"/>
              <w:right w:w="140" w:type="dxa"/>
            </w:tcMar>
          </w:tcPr>
          <w:p>
            <w:pPr>
              <w:jc w:val="center"/>
            </w:pPr>
            <w:r>
              <w:rPr>
                <w:rFonts w:ascii="Arial" w:hAnsi="Arial"/>
                <w:color w:val="2D3748"/>
                <w:sz w:val="18"/>
              </w:rPr>
              <w:t>1.0</w:t>
            </w:r>
          </w:p>
        </w:tc>
        <w:tc>
          <w:tcPr>
            <w:tcW w:type="dxa" w:w="3456"/>
            <w:shd w:fill="FFFFFF"/>
            <w:tcMar>
              <w:top w:w="100" w:type="dxa"/>
              <w:bottom w:w="100" w:type="dxa"/>
              <w:left w:w="140" w:type="dxa"/>
              <w:right w:w="140" w:type="dxa"/>
            </w:tcMar>
          </w:tcPr>
          <w:p>
            <w:pPr>
              <w:jc w:val="left"/>
            </w:pPr>
            <w:r>
              <w:rPr>
                <w:rFonts w:ascii="Arial" w:hAnsi="Arial"/>
                <w:color w:val="2D3748"/>
                <w:sz w:val="18"/>
              </w:rPr>
              <w:t>System Requirements Specification (SRS)</w:t>
            </w:r>
          </w:p>
        </w:tc>
        <w:tc>
          <w:tcPr>
            <w:tcW w:type="dxa" w:w="3888"/>
            <w:shd w:fill="FFFFFF"/>
            <w:tcMar>
              <w:top w:w="100" w:type="dxa"/>
              <w:bottom w:w="100" w:type="dxa"/>
              <w:left w:w="140" w:type="dxa"/>
              <w:right w:w="140" w:type="dxa"/>
            </w:tcMar>
          </w:tcPr>
          <w:p>
            <w:pPr>
              <w:jc w:val="left"/>
            </w:pPr>
            <w:r>
              <w:rPr>
                <w:rFonts w:ascii="Arial" w:hAnsi="Arial"/>
                <w:color w:val="2D3748"/>
                <w:sz w:val="18"/>
              </w:rPr>
              <w:t>Functional (FR1-FR12), Non-Functional, Hardware/Software Matrix</w:t>
            </w:r>
          </w:p>
        </w:tc>
        <w:tc>
          <w:tcPr>
            <w:tcW w:type="dxa" w:w="1152"/>
            <w:shd w:fill="FFFFFF"/>
            <w:tcMar>
              <w:top w:w="100" w:type="dxa"/>
              <w:bottom w:w="100" w:type="dxa"/>
              <w:left w:w="140" w:type="dxa"/>
              <w:right w:w="140" w:type="dxa"/>
            </w:tcMar>
          </w:tcPr>
          <w:p>
            <w:pPr>
              <w:jc w:val="center"/>
            </w:pPr>
            <w:r>
              <w:rPr>
                <w:rFonts w:ascii="Arial" w:hAnsi="Arial"/>
                <w:color w:val="2D3748"/>
                <w:sz w:val="18"/>
              </w:rPr>
              <w:t>Page 3</w:t>
            </w:r>
          </w:p>
        </w:tc>
      </w:tr>
      <w:tr>
        <w:trPr>
          <w:cantSplit/>
        </w:trPr>
        <w:tc>
          <w:tcPr>
            <w:tcW w:type="dxa" w:w="864"/>
            <w:shd w:fill="F7FAFC"/>
            <w:tcMar>
              <w:top w:w="100" w:type="dxa"/>
              <w:bottom w:w="100" w:type="dxa"/>
              <w:left w:w="140" w:type="dxa"/>
              <w:right w:w="140" w:type="dxa"/>
            </w:tcMar>
          </w:tcPr>
          <w:p>
            <w:pPr>
              <w:jc w:val="center"/>
            </w:pPr>
            <w:r>
              <w:rPr>
                <w:rFonts w:ascii="Arial" w:hAnsi="Arial"/>
                <w:color w:val="2D3748"/>
                <w:sz w:val="18"/>
              </w:rPr>
              <w:t>2.0</w:t>
            </w:r>
          </w:p>
        </w:tc>
        <w:tc>
          <w:tcPr>
            <w:tcW w:type="dxa" w:w="3456"/>
            <w:shd w:fill="F7FAFC"/>
            <w:tcMar>
              <w:top w:w="100" w:type="dxa"/>
              <w:bottom w:w="100" w:type="dxa"/>
              <w:left w:w="140" w:type="dxa"/>
              <w:right w:w="140" w:type="dxa"/>
            </w:tcMar>
          </w:tcPr>
          <w:p>
            <w:pPr>
              <w:jc w:val="left"/>
            </w:pPr>
            <w:r>
              <w:rPr>
                <w:rFonts w:ascii="Arial" w:hAnsi="Arial"/>
                <w:color w:val="2D3748"/>
                <w:sz w:val="18"/>
              </w:rPr>
              <w:t>System Analysis and Design (SAD)</w:t>
            </w:r>
          </w:p>
        </w:tc>
        <w:tc>
          <w:tcPr>
            <w:tcW w:type="dxa" w:w="3888"/>
            <w:shd w:fill="F7FAFC"/>
            <w:tcMar>
              <w:top w:w="100" w:type="dxa"/>
              <w:bottom w:w="100" w:type="dxa"/>
              <w:left w:w="140" w:type="dxa"/>
              <w:right w:w="140" w:type="dxa"/>
            </w:tcMar>
          </w:tcPr>
          <w:p>
            <w:pPr>
              <w:jc w:val="left"/>
            </w:pPr>
            <w:r>
              <w:rPr>
                <w:rFonts w:ascii="Arial" w:hAnsi="Arial"/>
                <w:color w:val="2D3748"/>
                <w:sz w:val="18"/>
              </w:rPr>
              <w:t>Dual-Engine Architecture, Ingestion, Scoring, Data Models, Sequence Flow</w:t>
            </w:r>
          </w:p>
        </w:tc>
        <w:tc>
          <w:tcPr>
            <w:tcW w:type="dxa" w:w="1152"/>
            <w:shd w:fill="F7FAFC"/>
            <w:tcMar>
              <w:top w:w="100" w:type="dxa"/>
              <w:bottom w:w="100" w:type="dxa"/>
              <w:left w:w="140" w:type="dxa"/>
              <w:right w:w="140" w:type="dxa"/>
            </w:tcMar>
          </w:tcPr>
          <w:p>
            <w:pPr>
              <w:jc w:val="center"/>
            </w:pPr>
            <w:r>
              <w:rPr>
                <w:rFonts w:ascii="Arial" w:hAnsi="Arial"/>
                <w:color w:val="2D3748"/>
                <w:sz w:val="18"/>
              </w:rPr>
              <w:t>Page 6</w:t>
            </w:r>
          </w:p>
        </w:tc>
      </w:tr>
      <w:tr>
        <w:trPr>
          <w:cantSplit/>
        </w:trPr>
        <w:tc>
          <w:tcPr>
            <w:tcW w:type="dxa" w:w="864"/>
            <w:shd w:fill="FFFFFF"/>
            <w:tcMar>
              <w:top w:w="100" w:type="dxa"/>
              <w:bottom w:w="100" w:type="dxa"/>
              <w:left w:w="140" w:type="dxa"/>
              <w:right w:w="140" w:type="dxa"/>
            </w:tcMar>
          </w:tcPr>
          <w:p>
            <w:pPr>
              <w:jc w:val="center"/>
            </w:pPr>
            <w:r>
              <w:rPr>
                <w:rFonts w:ascii="Arial" w:hAnsi="Arial"/>
                <w:color w:val="2D3748"/>
                <w:sz w:val="18"/>
              </w:rPr>
              <w:t>3.0</w:t>
            </w:r>
          </w:p>
        </w:tc>
        <w:tc>
          <w:tcPr>
            <w:tcW w:type="dxa" w:w="3456"/>
            <w:shd w:fill="FFFFFF"/>
            <w:tcMar>
              <w:top w:w="100" w:type="dxa"/>
              <w:bottom w:w="100" w:type="dxa"/>
              <w:left w:w="140" w:type="dxa"/>
              <w:right w:w="140" w:type="dxa"/>
            </w:tcMar>
          </w:tcPr>
          <w:p>
            <w:pPr>
              <w:jc w:val="left"/>
            </w:pPr>
            <w:r>
              <w:rPr>
                <w:rFonts w:ascii="Arial" w:hAnsi="Arial"/>
                <w:color w:val="2D3748"/>
                <w:sz w:val="18"/>
              </w:rPr>
              <w:t>Algorithm of the Project</w:t>
            </w:r>
          </w:p>
        </w:tc>
        <w:tc>
          <w:tcPr>
            <w:tcW w:type="dxa" w:w="3888"/>
            <w:shd w:fill="FFFFFF"/>
            <w:tcMar>
              <w:top w:w="100" w:type="dxa"/>
              <w:bottom w:w="100" w:type="dxa"/>
              <w:left w:w="140" w:type="dxa"/>
              <w:right w:w="140" w:type="dxa"/>
            </w:tcMar>
          </w:tcPr>
          <w:p>
            <w:pPr>
              <w:jc w:val="left"/>
            </w:pPr>
            <w:r>
              <w:rPr>
                <w:rFonts w:ascii="Arial" w:hAnsi="Arial"/>
                <w:color w:val="2D3748"/>
                <w:sz w:val="18"/>
              </w:rPr>
              <w:t>10 Honeypot Regex/AST Rules, 19-D Feature Extraction, RF/LR Models, Risk Math</w:t>
            </w:r>
          </w:p>
        </w:tc>
        <w:tc>
          <w:tcPr>
            <w:tcW w:type="dxa" w:w="1152"/>
            <w:shd w:fill="FFFFFF"/>
            <w:tcMar>
              <w:top w:w="100" w:type="dxa"/>
              <w:bottom w:w="100" w:type="dxa"/>
              <w:left w:w="140" w:type="dxa"/>
              <w:right w:w="140" w:type="dxa"/>
            </w:tcMar>
          </w:tcPr>
          <w:p>
            <w:pPr>
              <w:jc w:val="center"/>
            </w:pPr>
            <w:r>
              <w:rPr>
                <w:rFonts w:ascii="Arial" w:hAnsi="Arial"/>
                <w:color w:val="2D3748"/>
                <w:sz w:val="18"/>
              </w:rPr>
              <w:t>Page 10</w:t>
            </w:r>
          </w:p>
        </w:tc>
      </w:tr>
      <w:tr>
        <w:trPr>
          <w:cantSplit/>
        </w:trPr>
        <w:tc>
          <w:tcPr>
            <w:tcW w:type="dxa" w:w="864"/>
            <w:shd w:fill="F7FAFC"/>
            <w:tcMar>
              <w:top w:w="100" w:type="dxa"/>
              <w:bottom w:w="100" w:type="dxa"/>
              <w:left w:w="140" w:type="dxa"/>
              <w:right w:w="140" w:type="dxa"/>
            </w:tcMar>
          </w:tcPr>
          <w:p>
            <w:pPr>
              <w:jc w:val="center"/>
            </w:pPr>
            <w:r>
              <w:rPr>
                <w:rFonts w:ascii="Arial" w:hAnsi="Arial"/>
                <w:color w:val="2D3748"/>
                <w:sz w:val="18"/>
              </w:rPr>
              <w:t>4.0</w:t>
            </w:r>
          </w:p>
        </w:tc>
        <w:tc>
          <w:tcPr>
            <w:tcW w:type="dxa" w:w="3456"/>
            <w:shd w:fill="F7FAFC"/>
            <w:tcMar>
              <w:top w:w="100" w:type="dxa"/>
              <w:bottom w:w="100" w:type="dxa"/>
              <w:left w:w="140" w:type="dxa"/>
              <w:right w:w="140" w:type="dxa"/>
            </w:tcMar>
          </w:tcPr>
          <w:p>
            <w:pPr>
              <w:jc w:val="left"/>
            </w:pPr>
            <w:r>
              <w:rPr>
                <w:rFonts w:ascii="Arial" w:hAnsi="Arial"/>
                <w:color w:val="2D3748"/>
                <w:sz w:val="18"/>
              </w:rPr>
              <w:t>Implementation</w:t>
            </w:r>
          </w:p>
        </w:tc>
        <w:tc>
          <w:tcPr>
            <w:tcW w:type="dxa" w:w="3888"/>
            <w:shd w:fill="F7FAFC"/>
            <w:tcMar>
              <w:top w:w="100" w:type="dxa"/>
              <w:bottom w:w="100" w:type="dxa"/>
              <w:left w:w="140" w:type="dxa"/>
              <w:right w:w="140" w:type="dxa"/>
            </w:tcMar>
          </w:tcPr>
          <w:p>
            <w:pPr>
              <w:jc w:val="left"/>
            </w:pPr>
            <w:r>
              <w:rPr>
                <w:rFonts w:ascii="Arial" w:hAnsi="Arial"/>
                <w:color w:val="2D3748"/>
                <w:sz w:val="18"/>
              </w:rPr>
              <w:t>Tech Stack, Codebase Structure, MERN-Python Bridge, Express API, 208-Test Suite</w:t>
            </w:r>
          </w:p>
        </w:tc>
        <w:tc>
          <w:tcPr>
            <w:tcW w:type="dxa" w:w="1152"/>
            <w:shd w:fill="F7FAFC"/>
            <w:tcMar>
              <w:top w:w="100" w:type="dxa"/>
              <w:bottom w:w="100" w:type="dxa"/>
              <w:left w:w="140" w:type="dxa"/>
              <w:right w:w="140" w:type="dxa"/>
            </w:tcMar>
          </w:tcPr>
          <w:p>
            <w:pPr>
              <w:jc w:val="center"/>
            </w:pPr>
            <w:r>
              <w:rPr>
                <w:rFonts w:ascii="Arial" w:hAnsi="Arial"/>
                <w:color w:val="2D3748"/>
                <w:sz w:val="18"/>
              </w:rPr>
              <w:t>Page 14</w:t>
            </w:r>
          </w:p>
        </w:tc>
      </w:tr>
      <w:tr>
        <w:trPr>
          <w:cantSplit/>
        </w:trPr>
        <w:tc>
          <w:tcPr>
            <w:tcW w:type="dxa" w:w="864"/>
            <w:shd w:fill="FFFFFF"/>
            <w:tcMar>
              <w:top w:w="100" w:type="dxa"/>
              <w:bottom w:w="100" w:type="dxa"/>
              <w:left w:w="140" w:type="dxa"/>
              <w:right w:w="140" w:type="dxa"/>
            </w:tcMar>
          </w:tcPr>
          <w:p>
            <w:pPr>
              <w:jc w:val="center"/>
            </w:pPr>
            <w:r>
              <w:rPr>
                <w:rFonts w:ascii="Arial" w:hAnsi="Arial"/>
                <w:color w:val="2D3748"/>
                <w:sz w:val="18"/>
              </w:rPr>
              <w:t>5.0</w:t>
            </w:r>
          </w:p>
        </w:tc>
        <w:tc>
          <w:tcPr>
            <w:tcW w:type="dxa" w:w="3456"/>
            <w:shd w:fill="FFFFFF"/>
            <w:tcMar>
              <w:top w:w="100" w:type="dxa"/>
              <w:bottom w:w="100" w:type="dxa"/>
              <w:left w:w="140" w:type="dxa"/>
              <w:right w:w="140" w:type="dxa"/>
            </w:tcMar>
          </w:tcPr>
          <w:p>
            <w:pPr>
              <w:jc w:val="left"/>
            </w:pPr>
            <w:r>
              <w:rPr>
                <w:rFonts w:ascii="Arial" w:hAnsi="Arial"/>
                <w:color w:val="2D3748"/>
                <w:sz w:val="18"/>
              </w:rPr>
              <w:t>Results and Discussion</w:t>
            </w:r>
          </w:p>
        </w:tc>
        <w:tc>
          <w:tcPr>
            <w:tcW w:type="dxa" w:w="3888"/>
            <w:shd w:fill="FFFFFF"/>
            <w:tcMar>
              <w:top w:w="100" w:type="dxa"/>
              <w:bottom w:w="100" w:type="dxa"/>
              <w:left w:w="140" w:type="dxa"/>
              <w:right w:w="140" w:type="dxa"/>
            </w:tcMar>
          </w:tcPr>
          <w:p>
            <w:pPr>
              <w:jc w:val="left"/>
            </w:pPr>
            <w:r>
              <w:rPr>
                <w:rFonts w:ascii="Arial" w:hAnsi="Arial"/>
                <w:color w:val="2D3748"/>
                <w:sz w:val="18"/>
              </w:rPr>
              <w:t>Benchmark Metrics (100% Acc/Prec/Recall), Confusion Matrix, 3 Case Audits, Slither Comparison</w:t>
            </w:r>
          </w:p>
        </w:tc>
        <w:tc>
          <w:tcPr>
            <w:tcW w:type="dxa" w:w="1152"/>
            <w:shd w:fill="FFFFFF"/>
            <w:tcMar>
              <w:top w:w="100" w:type="dxa"/>
              <w:bottom w:w="100" w:type="dxa"/>
              <w:left w:w="140" w:type="dxa"/>
              <w:right w:w="140" w:type="dxa"/>
            </w:tcMar>
          </w:tcPr>
          <w:p>
            <w:pPr>
              <w:jc w:val="center"/>
            </w:pPr>
            <w:r>
              <w:rPr>
                <w:rFonts w:ascii="Arial" w:hAnsi="Arial"/>
                <w:color w:val="2D3748"/>
                <w:sz w:val="18"/>
              </w:rPr>
              <w:t>Page 18</w:t>
            </w:r>
          </w:p>
        </w:tc>
      </w:tr>
      <w:tr>
        <w:trPr>
          <w:cantSplit/>
        </w:trPr>
        <w:tc>
          <w:tcPr>
            <w:tcW w:type="dxa" w:w="864"/>
            <w:shd w:fill="F7FAFC"/>
            <w:tcMar>
              <w:top w:w="100" w:type="dxa"/>
              <w:bottom w:w="100" w:type="dxa"/>
              <w:left w:w="140" w:type="dxa"/>
              <w:right w:w="140" w:type="dxa"/>
            </w:tcMar>
          </w:tcPr>
          <w:p>
            <w:pPr>
              <w:jc w:val="center"/>
            </w:pPr>
            <w:r>
              <w:rPr>
                <w:rFonts w:ascii="Arial" w:hAnsi="Arial"/>
                <w:color w:val="2D3748"/>
                <w:sz w:val="18"/>
              </w:rPr>
              <w:t>6.0</w:t>
            </w:r>
          </w:p>
        </w:tc>
        <w:tc>
          <w:tcPr>
            <w:tcW w:type="dxa" w:w="3456"/>
            <w:shd w:fill="F7FAFC"/>
            <w:tcMar>
              <w:top w:w="100" w:type="dxa"/>
              <w:bottom w:w="100" w:type="dxa"/>
              <w:left w:w="140" w:type="dxa"/>
              <w:right w:w="140" w:type="dxa"/>
            </w:tcMar>
          </w:tcPr>
          <w:p>
            <w:pPr>
              <w:jc w:val="left"/>
            </w:pPr>
            <w:r>
              <w:rPr>
                <w:rFonts w:ascii="Arial" w:hAnsi="Arial"/>
                <w:color w:val="2D3748"/>
                <w:sz w:val="18"/>
              </w:rPr>
              <w:t>Project Applications</w:t>
            </w:r>
          </w:p>
        </w:tc>
        <w:tc>
          <w:tcPr>
            <w:tcW w:type="dxa" w:w="3888"/>
            <w:shd w:fill="F7FAFC"/>
            <w:tcMar>
              <w:top w:w="100" w:type="dxa"/>
              <w:bottom w:w="100" w:type="dxa"/>
              <w:left w:w="140" w:type="dxa"/>
              <w:right w:w="140" w:type="dxa"/>
            </w:tcMar>
          </w:tcPr>
          <w:p>
            <w:pPr>
              <w:jc w:val="left"/>
            </w:pPr>
            <w:r>
              <w:rPr>
                <w:rFonts w:ascii="Arial" w:hAnsi="Arial"/>
                <w:color w:val="2D3748"/>
                <w:sz w:val="18"/>
              </w:rPr>
              <w:t>CSDF Incident Response, DEX Pre-Trade Shield, Threat Intel Pipelines, Future Roadmap</w:t>
            </w:r>
          </w:p>
        </w:tc>
        <w:tc>
          <w:tcPr>
            <w:tcW w:type="dxa" w:w="1152"/>
            <w:shd w:fill="F7FAFC"/>
            <w:tcMar>
              <w:top w:w="100" w:type="dxa"/>
              <w:bottom w:w="100" w:type="dxa"/>
              <w:left w:w="140" w:type="dxa"/>
              <w:right w:w="140" w:type="dxa"/>
            </w:tcMar>
          </w:tcPr>
          <w:p>
            <w:pPr>
              <w:jc w:val="center"/>
            </w:pPr>
            <w:r>
              <w:rPr>
                <w:rFonts w:ascii="Arial" w:hAnsi="Arial"/>
                <w:color w:val="2D3748"/>
                <w:sz w:val="18"/>
              </w:rPr>
              <w:t>Page 22</w:t>
            </w:r>
          </w:p>
        </w:tc>
      </w:tr>
      <w:tr>
        <w:trPr>
          <w:cantSplit/>
        </w:trPr>
        <w:tc>
          <w:tcPr>
            <w:tcW w:type="dxa" w:w="864"/>
            <w:shd w:fill="FFFFFF"/>
            <w:tcMar>
              <w:top w:w="100" w:type="dxa"/>
              <w:bottom w:w="100" w:type="dxa"/>
              <w:left w:w="140" w:type="dxa"/>
              <w:right w:w="140" w:type="dxa"/>
            </w:tcMar>
          </w:tcPr>
          <w:p>
            <w:pPr>
              <w:jc w:val="center"/>
            </w:pPr>
            <w:r>
              <w:rPr>
                <w:rFonts w:ascii="Arial" w:hAnsi="Arial"/>
                <w:color w:val="2D3748"/>
                <w:sz w:val="18"/>
              </w:rPr>
              <w:t>7.0</w:t>
            </w:r>
          </w:p>
        </w:tc>
        <w:tc>
          <w:tcPr>
            <w:tcW w:type="dxa" w:w="3456"/>
            <w:shd w:fill="FFFFFF"/>
            <w:tcMar>
              <w:top w:w="100" w:type="dxa"/>
              <w:bottom w:w="100" w:type="dxa"/>
              <w:left w:w="140" w:type="dxa"/>
              <w:right w:w="140" w:type="dxa"/>
            </w:tcMar>
          </w:tcPr>
          <w:p>
            <w:pPr>
              <w:jc w:val="left"/>
            </w:pPr>
            <w:r>
              <w:rPr>
                <w:rFonts w:ascii="Arial" w:hAnsi="Arial"/>
                <w:color w:val="2D3748"/>
                <w:sz w:val="18"/>
              </w:rPr>
              <w:t>References &amp; Bibliography</w:t>
            </w:r>
          </w:p>
        </w:tc>
        <w:tc>
          <w:tcPr>
            <w:tcW w:type="dxa" w:w="3888"/>
            <w:shd w:fill="FFFFFF"/>
            <w:tcMar>
              <w:top w:w="100" w:type="dxa"/>
              <w:bottom w:w="100" w:type="dxa"/>
              <w:left w:w="140" w:type="dxa"/>
              <w:right w:w="140" w:type="dxa"/>
            </w:tcMar>
          </w:tcPr>
          <w:p>
            <w:pPr>
              <w:jc w:val="left"/>
            </w:pPr>
            <w:r>
              <w:rPr>
                <w:rFonts w:ascii="Arial" w:hAnsi="Arial"/>
                <w:color w:val="2D3748"/>
                <w:sz w:val="18"/>
              </w:rPr>
              <w:t>EIP Standards, Academic Papers (USENIX/IEEE), OpenZeppelin Security Resources</w:t>
            </w:r>
          </w:p>
        </w:tc>
        <w:tc>
          <w:tcPr>
            <w:tcW w:type="dxa" w:w="1152"/>
            <w:shd w:fill="FFFFFF"/>
            <w:tcMar>
              <w:top w:w="100" w:type="dxa"/>
              <w:bottom w:w="100" w:type="dxa"/>
              <w:left w:w="140" w:type="dxa"/>
              <w:right w:w="140" w:type="dxa"/>
            </w:tcMar>
          </w:tcPr>
          <w:p>
            <w:pPr>
              <w:jc w:val="center"/>
            </w:pPr>
            <w:r>
              <w:rPr>
                <w:rFonts w:ascii="Arial" w:hAnsi="Arial"/>
                <w:color w:val="2D3748"/>
                <w:sz w:val="18"/>
              </w:rPr>
              <w:t>Page 25</w:t>
            </w:r>
          </w:p>
        </w:tc>
      </w:tr>
    </w:tbl>
    <w:p>
      <w:r>
        <w:br w:type="page"/>
      </w:r>
    </w:p>
    <w:p>
      <w:pPr>
        <w:pStyle w:val="Heading1"/>
        <w:keepNext/>
        <w:spacing w:before="400" w:after="160"/>
      </w:pPr>
      <w:r>
        <w:rPr>
          <w:rFonts w:ascii="Arial" w:hAnsi="Arial"/>
          <w:b/>
          <w:color w:val="1A365D"/>
          <w:sz w:val="34"/>
        </w:rPr>
        <w:t>1.0 System Requirements Specification (SRS)</w:t>
      </w:r>
    </w:p>
    <w:p>
      <w:pPr>
        <w:pStyle w:val="Heading2"/>
        <w:keepNext/>
        <w:spacing w:before="280" w:after="120"/>
      </w:pPr>
      <w:r>
        <w:rPr>
          <w:rFonts w:ascii="Arial" w:hAnsi="Arial"/>
          <w:b/>
          <w:color w:val="2B6CB0"/>
          <w:sz w:val="27"/>
        </w:rPr>
        <w:t>1.1 Introduction, Problem Statement &amp; Purpose</w:t>
      </w:r>
    </w:p>
    <w:p>
      <w:pPr>
        <w:spacing w:before="0" w:after="120" w:line="288" w:lineRule="auto"/>
      </w:pPr>
      <w:r>
        <w:rPr>
          <w:rFonts w:ascii="Arial" w:hAnsi="Arial"/>
          <w:color w:val="2D3748"/>
          <w:sz w:val="21"/>
        </w:rPr>
        <w:t>The decentralized finance (DeFi) ecosystem built upon Ethereum Virtual Machine (EVM) compatible blockchains has experienced explosive growth, handling billions of dollars in daily decentralized exchange (DEX) trading volume. However, because automated market makers (AMMs) such as Uniswap, PancakeSwap, and SushiSwap operate permissionlessly, anyone can deploy a smart contract and pair it with liquidity without manual code review, identity verification, or regulatory compliance. Malicious actors aggressively exploit this permissionless architecture to deploy fraudulent tokens known as 'honeypots'.</w:t>
      </w:r>
    </w:p>
    <w:p>
      <w:pPr>
        <w:spacing w:before="0" w:after="120" w:line="288" w:lineRule="auto"/>
      </w:pPr>
      <w:r>
        <w:rPr>
          <w:rFonts w:ascii="Arial" w:hAnsi="Arial"/>
          <w:color w:val="2D3748"/>
          <w:sz w:val="21"/>
        </w:rPr>
        <w:t>A honeypot smart contract is engineered with deliberate asymmetries in its transfer logic: it permits retail users to swap cryptocurrency (e.g., ETH, BNB, MATIC) to purchase the token, but programmatically blocks, reverts, or taxes at 99%-100% any subsequent attempt by non-privileged accounts to sell, liquidate, or transfer the token back. Traditional smart contract auditing tools such as Slither, Mythril, or Securify are tailored toward finding general vulnerabilities (e.g., reentrancy, integer arithmetic overflows, front-running) and frequently fail to flag deceptive business logic traps. The purpose of this project is to specify, design, and deliver a modular, explainable, and dual-engine security auditing platform tailored specifically for Cyber Security and Digital Forensics (CSDF) practitioners, academic researchers, and Web3 investors.</w:t>
      </w:r>
    </w:p>
    <w:p>
      <w:pPr>
        <w:pStyle w:val="Heading2"/>
        <w:keepNext/>
        <w:spacing w:before="280" w:after="120"/>
      </w:pPr>
      <w:r>
        <w:rPr>
          <w:rFonts w:ascii="Arial" w:hAnsi="Arial"/>
          <w:b/>
          <w:color w:val="2B6CB0"/>
          <w:sz w:val="27"/>
        </w:rPr>
        <w:t>1.2 User Classes &amp; Operational Characteristics</w:t>
      </w:r>
    </w:p>
    <w:p>
      <w:pPr>
        <w:spacing w:before="0" w:after="120" w:line="288" w:lineRule="auto"/>
      </w:pPr>
      <w:r>
        <w:rPr>
          <w:rFonts w:ascii="Arial" w:hAnsi="Arial"/>
          <w:color w:val="2D3748"/>
          <w:sz w:val="21"/>
        </w:rPr>
        <w:t>The system is designed to serve four primary categories of stakeholders, each with unique technical requirements and operational workflows:</w:t>
      </w:r>
    </w:p>
    <w:p>
      <w:pPr>
        <w:pStyle w:val="ListBullet"/>
        <w:spacing w:before="0" w:after="60" w:line="276" w:lineRule="auto"/>
      </w:pPr>
      <w:r>
        <w:rPr>
          <w:rFonts w:ascii="Arial" w:hAnsi="Arial"/>
          <w:b/>
          <w:color w:val="1A365D"/>
          <w:sz w:val="20"/>
        </w:rPr>
        <w:t xml:space="preserve">1. Digital Forensics Investigators: </w:t>
      </w:r>
      <w:r>
        <w:rPr>
          <w:rFonts w:ascii="Arial" w:hAnsi="Arial"/>
          <w:color w:val="2D3748"/>
          <w:sz w:val="20"/>
        </w:rPr>
        <w:t>Requires automated batch scanning, line-numbered source evidence, JSON/CSV exports, and chain-of-custody verifiable reports to investigate on-chain fraud, trace scam deployers, and prepare evidentiary documentation.</w:t>
      </w:r>
    </w:p>
    <w:p>
      <w:pPr>
        <w:pStyle w:val="ListBullet"/>
        <w:spacing w:before="0" w:after="60" w:line="276" w:lineRule="auto"/>
      </w:pPr>
      <w:r>
        <w:rPr>
          <w:rFonts w:ascii="Arial" w:hAnsi="Arial"/>
          <w:b/>
          <w:color w:val="1A365D"/>
          <w:sz w:val="20"/>
        </w:rPr>
        <w:t xml:space="preserve">2. Smart Contract Security Auditors: </w:t>
      </w:r>
      <w:r>
        <w:rPr>
          <w:rFonts w:ascii="Arial" w:hAnsi="Arial"/>
          <w:color w:val="2D3748"/>
          <w:sz w:val="20"/>
        </w:rPr>
        <w:t>Utilizes the CLI and REST API to triage unverified or newly submitted token contracts, inspecting AST modifier hierarchies, access-control backdoors, and positive OpenZeppelin compliance indicators.</w:t>
      </w:r>
    </w:p>
    <w:p>
      <w:pPr>
        <w:pStyle w:val="ListBullet"/>
        <w:spacing w:before="0" w:after="60" w:line="276" w:lineRule="auto"/>
      </w:pPr>
      <w:r>
        <w:rPr>
          <w:rFonts w:ascii="Arial" w:hAnsi="Arial"/>
          <w:b/>
          <w:color w:val="1A365D"/>
          <w:sz w:val="20"/>
        </w:rPr>
        <w:t xml:space="preserve">3. Academic Evaluators &amp; Researchers: </w:t>
      </w:r>
      <w:r>
        <w:rPr>
          <w:rFonts w:ascii="Arial" w:hAnsi="Arial"/>
          <w:color w:val="2D3748"/>
          <w:sz w:val="20"/>
        </w:rPr>
        <w:t>Reviews the modular dual-engine architecture, 19-dimensional feature engineering, scikit-learn cross-validation metrics, and confusion matrix stability across educational reference contracts.</w:t>
      </w:r>
    </w:p>
    <w:p>
      <w:pPr>
        <w:pStyle w:val="ListBullet"/>
        <w:spacing w:before="0" w:after="60" w:line="276" w:lineRule="auto"/>
      </w:pPr>
      <w:r>
        <w:rPr>
          <w:rFonts w:ascii="Arial" w:hAnsi="Arial"/>
          <w:b/>
          <w:color w:val="1A365D"/>
          <w:sz w:val="20"/>
        </w:rPr>
        <w:t xml:space="preserve">4. Web3 Retail Traders: </w:t>
      </w:r>
      <w:r>
        <w:rPr>
          <w:rFonts w:ascii="Arial" w:hAnsi="Arial"/>
          <w:color w:val="2D3748"/>
          <w:sz w:val="20"/>
        </w:rPr>
        <w:t>Interacts with the MERN stack web dashboard to inspect the animated risk speedometer, review plain-English risk explanations, and verify token safety prior to DEX transaction submission.</w:t>
      </w:r>
    </w:p>
    <w:p>
      <w:pPr>
        <w:pStyle w:val="Heading2"/>
        <w:keepNext/>
        <w:spacing w:before="280" w:after="120"/>
      </w:pPr>
      <w:r>
        <w:rPr>
          <w:rFonts w:ascii="Arial" w:hAnsi="Arial"/>
          <w:b/>
          <w:color w:val="2B6CB0"/>
          <w:sz w:val="27"/>
        </w:rPr>
        <w:t>1.3 Functional Requirements Specification</w:t>
      </w:r>
    </w:p>
    <w:p>
      <w:pPr>
        <w:spacing w:before="0" w:after="120" w:line="288" w:lineRule="auto"/>
      </w:pPr>
      <w:r>
        <w:rPr>
          <w:rFonts w:ascii="Arial" w:hAnsi="Arial"/>
          <w:color w:val="2D3748"/>
          <w:sz w:val="21"/>
        </w:rPr>
        <w:t>The functional capabilities of the Blockchain Smart Contract Honeypot Attack Detector are formally enumerated below:</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1152"/>
            <w:shd w:fill="1A365D"/>
            <w:tcMar>
              <w:top w:w="120" w:type="dxa"/>
              <w:bottom w:w="120" w:type="dxa"/>
              <w:left w:w="140" w:type="dxa"/>
              <w:right w:w="140" w:type="dxa"/>
            </w:tcMar>
          </w:tcPr>
          <w:p>
            <w:pPr>
              <w:jc w:val="center"/>
            </w:pPr>
            <w:r>
              <w:rPr>
                <w:rFonts w:ascii="Arial" w:hAnsi="Arial"/>
                <w:b/>
                <w:color w:val="FFFFFF"/>
                <w:sz w:val="19"/>
              </w:rPr>
              <w:t>Req ID</w:t>
            </w:r>
          </w:p>
        </w:tc>
        <w:tc>
          <w:tcPr>
            <w:tcW w:type="dxa" w:w="2592"/>
            <w:shd w:fill="1A365D"/>
            <w:tcMar>
              <w:top w:w="120" w:type="dxa"/>
              <w:bottom w:w="120" w:type="dxa"/>
              <w:left w:w="140" w:type="dxa"/>
              <w:right w:w="140" w:type="dxa"/>
            </w:tcMar>
          </w:tcPr>
          <w:p>
            <w:pPr>
              <w:jc w:val="center"/>
            </w:pPr>
            <w:r>
              <w:rPr>
                <w:rFonts w:ascii="Arial" w:hAnsi="Arial"/>
                <w:b/>
                <w:color w:val="FFFFFF"/>
                <w:sz w:val="19"/>
              </w:rPr>
              <w:t>Functional Requirement</w:t>
            </w:r>
          </w:p>
        </w:tc>
        <w:tc>
          <w:tcPr>
            <w:tcW w:type="dxa" w:w="5616"/>
            <w:shd w:fill="1A365D"/>
            <w:tcMar>
              <w:top w:w="120" w:type="dxa"/>
              <w:bottom w:w="120" w:type="dxa"/>
              <w:left w:w="140" w:type="dxa"/>
              <w:right w:w="140" w:type="dxa"/>
            </w:tcMar>
          </w:tcPr>
          <w:p>
            <w:pPr>
              <w:jc w:val="center"/>
            </w:pPr>
            <w:r>
              <w:rPr>
                <w:rFonts w:ascii="Arial" w:hAnsi="Arial"/>
                <w:b/>
                <w:color w:val="FFFFFF"/>
                <w:sz w:val="19"/>
              </w:rPr>
              <w:t>Formal Specification Description</w:t>
            </w:r>
          </w:p>
        </w:tc>
      </w:tr>
      <w:tr>
        <w:trPr>
          <w:cantSplit/>
        </w:trPr>
        <w:tc>
          <w:tcPr>
            <w:tcW w:type="dxa" w:w="1152"/>
            <w:shd w:fill="FFFFFF"/>
            <w:tcMar>
              <w:top w:w="100" w:type="dxa"/>
              <w:bottom w:w="100" w:type="dxa"/>
              <w:left w:w="140" w:type="dxa"/>
              <w:right w:w="140" w:type="dxa"/>
            </w:tcMar>
          </w:tcPr>
          <w:p>
            <w:pPr>
              <w:jc w:val="center"/>
            </w:pPr>
            <w:r>
              <w:rPr>
                <w:rFonts w:ascii="Arial" w:hAnsi="Arial"/>
                <w:color w:val="2D3748"/>
                <w:sz w:val="18"/>
              </w:rPr>
              <w:t>FR-1</w:t>
            </w:r>
          </w:p>
        </w:tc>
        <w:tc>
          <w:tcPr>
            <w:tcW w:type="dxa" w:w="2592"/>
            <w:shd w:fill="FFFFFF"/>
            <w:tcMar>
              <w:top w:w="100" w:type="dxa"/>
              <w:bottom w:w="100" w:type="dxa"/>
              <w:left w:w="140" w:type="dxa"/>
              <w:right w:w="140" w:type="dxa"/>
            </w:tcMar>
          </w:tcPr>
          <w:p>
            <w:pPr>
              <w:jc w:val="left"/>
            </w:pPr>
            <w:r>
              <w:rPr>
                <w:rFonts w:ascii="Arial" w:hAnsi="Arial"/>
                <w:color w:val="2D3748"/>
                <w:sz w:val="18"/>
              </w:rPr>
              <w:t>Multi-Modal Ingestion</w:t>
            </w:r>
          </w:p>
        </w:tc>
        <w:tc>
          <w:tcPr>
            <w:tcW w:type="dxa" w:w="5616"/>
            <w:shd w:fill="FFFFFF"/>
            <w:tcMar>
              <w:top w:w="100" w:type="dxa"/>
              <w:bottom w:w="100" w:type="dxa"/>
              <w:left w:w="140" w:type="dxa"/>
              <w:right w:w="140" w:type="dxa"/>
            </w:tcMar>
          </w:tcPr>
          <w:p>
            <w:pPr>
              <w:jc w:val="left"/>
            </w:pPr>
            <w:r>
              <w:rPr>
                <w:rFonts w:ascii="Arial" w:hAnsi="Arial"/>
                <w:color w:val="2D3748"/>
                <w:sz w:val="18"/>
              </w:rPr>
              <w:t>System shall ingest input via local .sol file paths, raw Solidity text strings, EVM bytecode, or 42-character 0x addresses across Ethereum, BSC, Polygon, Arbitrum, and Sepolia.</w:t>
            </w:r>
          </w:p>
        </w:tc>
      </w:tr>
      <w:tr>
        <w:trPr>
          <w:cantSplit/>
        </w:trPr>
        <w:tc>
          <w:tcPr>
            <w:tcW w:type="dxa" w:w="1152"/>
            <w:shd w:fill="F7FAFC"/>
            <w:tcMar>
              <w:top w:w="100" w:type="dxa"/>
              <w:bottom w:w="100" w:type="dxa"/>
              <w:left w:w="140" w:type="dxa"/>
              <w:right w:w="140" w:type="dxa"/>
            </w:tcMar>
          </w:tcPr>
          <w:p>
            <w:pPr>
              <w:jc w:val="center"/>
            </w:pPr>
            <w:r>
              <w:rPr>
                <w:rFonts w:ascii="Arial" w:hAnsi="Arial"/>
                <w:color w:val="2D3748"/>
                <w:sz w:val="18"/>
              </w:rPr>
              <w:t>FR-2</w:t>
            </w:r>
          </w:p>
        </w:tc>
        <w:tc>
          <w:tcPr>
            <w:tcW w:type="dxa" w:w="2592"/>
            <w:shd w:fill="F7FAFC"/>
            <w:tcMar>
              <w:top w:w="100" w:type="dxa"/>
              <w:bottom w:w="100" w:type="dxa"/>
              <w:left w:w="140" w:type="dxa"/>
              <w:right w:w="140" w:type="dxa"/>
            </w:tcMar>
          </w:tcPr>
          <w:p>
            <w:pPr>
              <w:jc w:val="left"/>
            </w:pPr>
            <w:r>
              <w:rPr>
                <w:rFonts w:ascii="Arial" w:hAnsi="Arial"/>
                <w:color w:val="2D3748"/>
                <w:sz w:val="18"/>
              </w:rPr>
              <w:t>Source Sanitation</w:t>
            </w:r>
          </w:p>
        </w:tc>
        <w:tc>
          <w:tcPr>
            <w:tcW w:type="dxa" w:w="5616"/>
            <w:shd w:fill="F7FAFC"/>
            <w:tcMar>
              <w:top w:w="100" w:type="dxa"/>
              <w:bottom w:w="100" w:type="dxa"/>
              <w:left w:w="140" w:type="dxa"/>
              <w:right w:w="140" w:type="dxa"/>
            </w:tcMar>
          </w:tcPr>
          <w:p>
            <w:pPr>
              <w:jc w:val="left"/>
            </w:pPr>
            <w:r>
              <w:rPr>
                <w:rFonts w:ascii="Arial" w:hAnsi="Arial"/>
                <w:color w:val="2D3748"/>
                <w:sz w:val="18"/>
              </w:rPr>
              <w:t>System shall sanitize raw source code by stripping inline and block comments while strictly preserving original line numbering for forensic attribution.</w:t>
            </w:r>
          </w:p>
        </w:tc>
      </w:tr>
      <w:tr>
        <w:trPr>
          <w:cantSplit/>
        </w:trPr>
        <w:tc>
          <w:tcPr>
            <w:tcW w:type="dxa" w:w="1152"/>
            <w:shd w:fill="FFFFFF"/>
            <w:tcMar>
              <w:top w:w="100" w:type="dxa"/>
              <w:bottom w:w="100" w:type="dxa"/>
              <w:left w:w="140" w:type="dxa"/>
              <w:right w:w="140" w:type="dxa"/>
            </w:tcMar>
          </w:tcPr>
          <w:p>
            <w:pPr>
              <w:jc w:val="center"/>
            </w:pPr>
            <w:r>
              <w:rPr>
                <w:rFonts w:ascii="Arial" w:hAnsi="Arial"/>
                <w:color w:val="2D3748"/>
                <w:sz w:val="18"/>
              </w:rPr>
              <w:t>FR-3</w:t>
            </w:r>
          </w:p>
        </w:tc>
        <w:tc>
          <w:tcPr>
            <w:tcW w:type="dxa" w:w="2592"/>
            <w:shd w:fill="FFFFFF"/>
            <w:tcMar>
              <w:top w:w="100" w:type="dxa"/>
              <w:bottom w:w="100" w:type="dxa"/>
              <w:left w:w="140" w:type="dxa"/>
              <w:right w:w="140" w:type="dxa"/>
            </w:tcMar>
          </w:tcPr>
          <w:p>
            <w:pPr>
              <w:jc w:val="left"/>
            </w:pPr>
            <w:r>
              <w:rPr>
                <w:rFonts w:ascii="Arial" w:hAnsi="Arial"/>
                <w:color w:val="2D3748"/>
                <w:sz w:val="18"/>
              </w:rPr>
              <w:t>AST Structural Analysis</w:t>
            </w:r>
          </w:p>
        </w:tc>
        <w:tc>
          <w:tcPr>
            <w:tcW w:type="dxa" w:w="5616"/>
            <w:shd w:fill="FFFFFF"/>
            <w:tcMar>
              <w:top w:w="100" w:type="dxa"/>
              <w:bottom w:w="100" w:type="dxa"/>
              <w:left w:w="140" w:type="dxa"/>
              <w:right w:w="140" w:type="dxa"/>
            </w:tcMar>
          </w:tcPr>
          <w:p>
            <w:pPr>
              <w:jc w:val="left"/>
            </w:pPr>
            <w:r>
              <w:rPr>
                <w:rFonts w:ascii="Arial" w:hAnsi="Arial"/>
                <w:color w:val="2D3748"/>
                <w:sz w:val="18"/>
              </w:rPr>
              <w:t>System shall extract compiler pragma versions, single/multiple inheritance trees, function headers, state variables, and custom modifier declarations.</w:t>
            </w:r>
          </w:p>
        </w:tc>
      </w:tr>
      <w:tr>
        <w:trPr>
          <w:cantSplit/>
        </w:trPr>
        <w:tc>
          <w:tcPr>
            <w:tcW w:type="dxa" w:w="1152"/>
            <w:shd w:fill="F7FAFC"/>
            <w:tcMar>
              <w:top w:w="100" w:type="dxa"/>
              <w:bottom w:w="100" w:type="dxa"/>
              <w:left w:w="140" w:type="dxa"/>
              <w:right w:w="140" w:type="dxa"/>
            </w:tcMar>
          </w:tcPr>
          <w:p>
            <w:pPr>
              <w:jc w:val="center"/>
            </w:pPr>
            <w:r>
              <w:rPr>
                <w:rFonts w:ascii="Arial" w:hAnsi="Arial"/>
                <w:color w:val="2D3748"/>
                <w:sz w:val="18"/>
              </w:rPr>
              <w:t>FR-4</w:t>
            </w:r>
          </w:p>
        </w:tc>
        <w:tc>
          <w:tcPr>
            <w:tcW w:type="dxa" w:w="2592"/>
            <w:shd w:fill="F7FAFC"/>
            <w:tcMar>
              <w:top w:w="100" w:type="dxa"/>
              <w:bottom w:w="100" w:type="dxa"/>
              <w:left w:w="140" w:type="dxa"/>
              <w:right w:w="140" w:type="dxa"/>
            </w:tcMar>
          </w:tcPr>
          <w:p>
            <w:pPr>
              <w:jc w:val="left"/>
            </w:pPr>
            <w:r>
              <w:rPr>
                <w:rFonts w:ascii="Arial" w:hAnsi="Arial"/>
                <w:color w:val="2D3748"/>
                <w:sz w:val="18"/>
              </w:rPr>
              <w:t>10 Honeypot Rules</w:t>
            </w:r>
          </w:p>
        </w:tc>
        <w:tc>
          <w:tcPr>
            <w:tcW w:type="dxa" w:w="5616"/>
            <w:shd w:fill="F7FAFC"/>
            <w:tcMar>
              <w:top w:w="100" w:type="dxa"/>
              <w:bottom w:w="100" w:type="dxa"/>
              <w:left w:w="140" w:type="dxa"/>
              <w:right w:w="140" w:type="dxa"/>
            </w:tcMar>
          </w:tcPr>
          <w:p>
            <w:pPr>
              <w:jc w:val="left"/>
            </w:pPr>
            <w:r>
              <w:rPr>
                <w:rFonts w:ascii="Arial" w:hAnsi="Arial"/>
                <w:color w:val="2D3748"/>
                <w:sz w:val="18"/>
              </w:rPr>
              <w:t>System shall evaluate 10 deterministic static rules covering blacklists, asymmetric DEX sells, excessive fees, unbounded setters, cooldowns, pausable switches, max wallet limits, hidden mints, assembly, and dynamic oracles.</w:t>
            </w:r>
          </w:p>
        </w:tc>
      </w:tr>
      <w:tr>
        <w:trPr>
          <w:cantSplit/>
        </w:trPr>
        <w:tc>
          <w:tcPr>
            <w:tcW w:type="dxa" w:w="1152"/>
            <w:shd w:fill="FFFFFF"/>
            <w:tcMar>
              <w:top w:w="100" w:type="dxa"/>
              <w:bottom w:w="100" w:type="dxa"/>
              <w:left w:w="140" w:type="dxa"/>
              <w:right w:w="140" w:type="dxa"/>
            </w:tcMar>
          </w:tcPr>
          <w:p>
            <w:pPr>
              <w:jc w:val="center"/>
            </w:pPr>
            <w:r>
              <w:rPr>
                <w:rFonts w:ascii="Arial" w:hAnsi="Arial"/>
                <w:color w:val="2D3748"/>
                <w:sz w:val="18"/>
              </w:rPr>
              <w:t>FR-5</w:t>
            </w:r>
          </w:p>
        </w:tc>
        <w:tc>
          <w:tcPr>
            <w:tcW w:type="dxa" w:w="2592"/>
            <w:shd w:fill="FFFFFF"/>
            <w:tcMar>
              <w:top w:w="100" w:type="dxa"/>
              <w:bottom w:w="100" w:type="dxa"/>
              <w:left w:w="140" w:type="dxa"/>
              <w:right w:w="140" w:type="dxa"/>
            </w:tcMar>
          </w:tcPr>
          <w:p>
            <w:pPr>
              <w:jc w:val="left"/>
            </w:pPr>
            <w:r>
              <w:rPr>
                <w:rFonts w:ascii="Arial" w:hAnsi="Arial"/>
                <w:color w:val="2D3748"/>
                <w:sz w:val="18"/>
              </w:rPr>
              <w:t>Positive Indicators</w:t>
            </w:r>
          </w:p>
        </w:tc>
        <w:tc>
          <w:tcPr>
            <w:tcW w:type="dxa" w:w="5616"/>
            <w:shd w:fill="FFFFFF"/>
            <w:tcMar>
              <w:top w:w="100" w:type="dxa"/>
              <w:bottom w:w="100" w:type="dxa"/>
              <w:left w:w="140" w:type="dxa"/>
              <w:right w:w="140" w:type="dxa"/>
            </w:tcMar>
          </w:tcPr>
          <w:p>
            <w:pPr>
              <w:jc w:val="left"/>
            </w:pPr>
            <w:r>
              <w:rPr>
                <w:rFonts w:ascii="Arial" w:hAnsi="Arial"/>
                <w:color w:val="2D3748"/>
                <w:sz w:val="18"/>
              </w:rPr>
              <w:t>System shall detect benign mitigating security practices including OpenZeppelin imports, immutable fee ceilings, renounced ownership capability, and standard ERC-20 event emissions.</w:t>
            </w:r>
          </w:p>
        </w:tc>
      </w:tr>
      <w:tr>
        <w:trPr>
          <w:cantSplit/>
        </w:trPr>
        <w:tc>
          <w:tcPr>
            <w:tcW w:type="dxa" w:w="1152"/>
            <w:shd w:fill="F7FAFC"/>
            <w:tcMar>
              <w:top w:w="100" w:type="dxa"/>
              <w:bottom w:w="100" w:type="dxa"/>
              <w:left w:w="140" w:type="dxa"/>
              <w:right w:w="140" w:type="dxa"/>
            </w:tcMar>
          </w:tcPr>
          <w:p>
            <w:pPr>
              <w:jc w:val="center"/>
            </w:pPr>
            <w:r>
              <w:rPr>
                <w:rFonts w:ascii="Arial" w:hAnsi="Arial"/>
                <w:color w:val="2D3748"/>
                <w:sz w:val="18"/>
              </w:rPr>
              <w:t>FR-6</w:t>
            </w:r>
          </w:p>
        </w:tc>
        <w:tc>
          <w:tcPr>
            <w:tcW w:type="dxa" w:w="2592"/>
            <w:shd w:fill="F7FAFC"/>
            <w:tcMar>
              <w:top w:w="100" w:type="dxa"/>
              <w:bottom w:w="100" w:type="dxa"/>
              <w:left w:w="140" w:type="dxa"/>
              <w:right w:w="140" w:type="dxa"/>
            </w:tcMar>
          </w:tcPr>
          <w:p>
            <w:pPr>
              <w:jc w:val="left"/>
            </w:pPr>
            <w:r>
              <w:rPr>
                <w:rFonts w:ascii="Arial" w:hAnsi="Arial"/>
                <w:color w:val="2D3748"/>
                <w:sz w:val="18"/>
              </w:rPr>
              <w:t>19-D Feature Extraction</w:t>
            </w:r>
          </w:p>
        </w:tc>
        <w:tc>
          <w:tcPr>
            <w:tcW w:type="dxa" w:w="5616"/>
            <w:shd w:fill="F7FAFC"/>
            <w:tcMar>
              <w:top w:w="100" w:type="dxa"/>
              <w:bottom w:w="100" w:type="dxa"/>
              <w:left w:w="140" w:type="dxa"/>
              <w:right w:w="140" w:type="dxa"/>
            </w:tcMar>
          </w:tcPr>
          <w:p>
            <w:pPr>
              <w:jc w:val="left"/>
            </w:pPr>
            <w:r>
              <w:rPr>
                <w:rFonts w:ascii="Arial" w:hAnsi="Arial"/>
                <w:color w:val="2D3748"/>
                <w:sz w:val="18"/>
              </w:rPr>
              <w:t>System shall map contract structures and static findings into a normalized 19-dimensional numeric feature vector for statistical analysis.</w:t>
            </w:r>
          </w:p>
        </w:tc>
      </w:tr>
      <w:tr>
        <w:trPr>
          <w:cantSplit/>
        </w:trPr>
        <w:tc>
          <w:tcPr>
            <w:tcW w:type="dxa" w:w="1152"/>
            <w:shd w:fill="FFFFFF"/>
            <w:tcMar>
              <w:top w:w="100" w:type="dxa"/>
              <w:bottom w:w="100" w:type="dxa"/>
              <w:left w:w="140" w:type="dxa"/>
              <w:right w:w="140" w:type="dxa"/>
            </w:tcMar>
          </w:tcPr>
          <w:p>
            <w:pPr>
              <w:jc w:val="center"/>
            </w:pPr>
            <w:r>
              <w:rPr>
                <w:rFonts w:ascii="Arial" w:hAnsi="Arial"/>
                <w:color w:val="2D3748"/>
                <w:sz w:val="18"/>
              </w:rPr>
              <w:t>FR-7</w:t>
            </w:r>
          </w:p>
        </w:tc>
        <w:tc>
          <w:tcPr>
            <w:tcW w:type="dxa" w:w="2592"/>
            <w:shd w:fill="FFFFFF"/>
            <w:tcMar>
              <w:top w:w="100" w:type="dxa"/>
              <w:bottom w:w="100" w:type="dxa"/>
              <w:left w:w="140" w:type="dxa"/>
              <w:right w:w="140" w:type="dxa"/>
            </w:tcMar>
          </w:tcPr>
          <w:p>
            <w:pPr>
              <w:jc w:val="left"/>
            </w:pPr>
            <w:r>
              <w:rPr>
                <w:rFonts w:ascii="Arial" w:hAnsi="Arial"/>
                <w:color w:val="2D3748"/>
                <w:sz w:val="18"/>
              </w:rPr>
              <w:t>Machine Learning Core</w:t>
            </w:r>
          </w:p>
        </w:tc>
        <w:tc>
          <w:tcPr>
            <w:tcW w:type="dxa" w:w="5616"/>
            <w:shd w:fill="FFFFFF"/>
            <w:tcMar>
              <w:top w:w="100" w:type="dxa"/>
              <w:bottom w:w="100" w:type="dxa"/>
              <w:left w:w="140" w:type="dxa"/>
              <w:right w:w="140" w:type="dxa"/>
            </w:tcMar>
          </w:tcPr>
          <w:p>
            <w:pPr>
              <w:jc w:val="left"/>
            </w:pPr>
            <w:r>
              <w:rPr>
                <w:rFonts w:ascii="Arial" w:hAnsi="Arial"/>
                <w:color w:val="2D3748"/>
                <w:sz w:val="18"/>
              </w:rPr>
              <w:t>System shall execute inference using trained Random Forest (100 trees) and L2-regularized Logistic Regression models, outputting a probability [0.0, 1.0] and top feature drivers.</w:t>
            </w:r>
          </w:p>
        </w:tc>
      </w:tr>
      <w:tr>
        <w:trPr>
          <w:cantSplit/>
        </w:trPr>
        <w:tc>
          <w:tcPr>
            <w:tcW w:type="dxa" w:w="1152"/>
            <w:shd w:fill="F7FAFC"/>
            <w:tcMar>
              <w:top w:w="100" w:type="dxa"/>
              <w:bottom w:w="100" w:type="dxa"/>
              <w:left w:w="140" w:type="dxa"/>
              <w:right w:w="140" w:type="dxa"/>
            </w:tcMar>
          </w:tcPr>
          <w:p>
            <w:pPr>
              <w:jc w:val="center"/>
            </w:pPr>
            <w:r>
              <w:rPr>
                <w:rFonts w:ascii="Arial" w:hAnsi="Arial"/>
                <w:color w:val="2D3748"/>
                <w:sz w:val="18"/>
              </w:rPr>
              <w:t>FR-8</w:t>
            </w:r>
          </w:p>
        </w:tc>
        <w:tc>
          <w:tcPr>
            <w:tcW w:type="dxa" w:w="2592"/>
            <w:shd w:fill="F7FAFC"/>
            <w:tcMar>
              <w:top w:w="100" w:type="dxa"/>
              <w:bottom w:w="100" w:type="dxa"/>
              <w:left w:w="140" w:type="dxa"/>
              <w:right w:w="140" w:type="dxa"/>
            </w:tcMar>
          </w:tcPr>
          <w:p>
            <w:pPr>
              <w:jc w:val="left"/>
            </w:pPr>
            <w:r>
              <w:rPr>
                <w:rFonts w:ascii="Arial" w:hAnsi="Arial"/>
                <w:color w:val="2D3748"/>
                <w:sz w:val="18"/>
              </w:rPr>
              <w:t>Heuristic ML Fallback</w:t>
            </w:r>
          </w:p>
        </w:tc>
        <w:tc>
          <w:tcPr>
            <w:tcW w:type="dxa" w:w="5616"/>
            <w:shd w:fill="F7FAFC"/>
            <w:tcMar>
              <w:top w:w="100" w:type="dxa"/>
              <w:bottom w:w="100" w:type="dxa"/>
              <w:left w:w="140" w:type="dxa"/>
              <w:right w:w="140" w:type="dxa"/>
            </w:tcMar>
          </w:tcPr>
          <w:p>
            <w:pPr>
              <w:jc w:val="left"/>
            </w:pPr>
            <w:r>
              <w:rPr>
                <w:rFonts w:ascii="Arial" w:hAnsi="Arial"/>
                <w:color w:val="2D3748"/>
                <w:sz w:val="18"/>
              </w:rPr>
              <w:t>If serialized joblib model artifacts are missing, system shall execute a deterministic weighted heuristic classifier to maintain continuous uptime.</w:t>
            </w:r>
          </w:p>
        </w:tc>
      </w:tr>
      <w:tr>
        <w:trPr>
          <w:cantSplit/>
        </w:trPr>
        <w:tc>
          <w:tcPr>
            <w:tcW w:type="dxa" w:w="1152"/>
            <w:shd w:fill="FFFFFF"/>
            <w:tcMar>
              <w:top w:w="100" w:type="dxa"/>
              <w:bottom w:w="100" w:type="dxa"/>
              <w:left w:w="140" w:type="dxa"/>
              <w:right w:w="140" w:type="dxa"/>
            </w:tcMar>
          </w:tcPr>
          <w:p>
            <w:pPr>
              <w:jc w:val="center"/>
            </w:pPr>
            <w:r>
              <w:rPr>
                <w:rFonts w:ascii="Arial" w:hAnsi="Arial"/>
                <w:color w:val="2D3748"/>
                <w:sz w:val="18"/>
              </w:rPr>
              <w:t>FR-9</w:t>
            </w:r>
          </w:p>
        </w:tc>
        <w:tc>
          <w:tcPr>
            <w:tcW w:type="dxa" w:w="2592"/>
            <w:shd w:fill="FFFFFF"/>
            <w:tcMar>
              <w:top w:w="100" w:type="dxa"/>
              <w:bottom w:w="100" w:type="dxa"/>
              <w:left w:w="140" w:type="dxa"/>
              <w:right w:w="140" w:type="dxa"/>
            </w:tcMar>
          </w:tcPr>
          <w:p>
            <w:pPr>
              <w:jc w:val="left"/>
            </w:pPr>
            <w:r>
              <w:rPr>
                <w:rFonts w:ascii="Arial" w:hAnsi="Arial"/>
                <w:color w:val="2D3748"/>
                <w:sz w:val="18"/>
              </w:rPr>
              <w:t>Explainable Risk Scorer</w:t>
            </w:r>
          </w:p>
        </w:tc>
        <w:tc>
          <w:tcPr>
            <w:tcW w:type="dxa" w:w="5616"/>
            <w:shd w:fill="FFFFFF"/>
            <w:tcMar>
              <w:top w:w="100" w:type="dxa"/>
              <w:bottom w:w="100" w:type="dxa"/>
              <w:left w:w="140" w:type="dxa"/>
              <w:right w:w="140" w:type="dxa"/>
            </w:tcMar>
          </w:tcPr>
          <w:p>
            <w:pPr>
              <w:jc w:val="left"/>
            </w:pPr>
            <w:r>
              <w:rPr>
                <w:rFonts w:ascii="Arial" w:hAnsi="Arial"/>
                <w:color w:val="2D3748"/>
                <w:sz w:val="18"/>
              </w:rPr>
              <w:t>System shall compute a 0-100 risk score combining base severity weights (Critical=40, High=25, Medium=15, Low=5) minus positive deductions (max 15), clamped with a Critical Floor &gt;= 50.</w:t>
            </w:r>
          </w:p>
        </w:tc>
      </w:tr>
      <w:tr>
        <w:trPr>
          <w:cantSplit/>
        </w:trPr>
        <w:tc>
          <w:tcPr>
            <w:tcW w:type="dxa" w:w="1152"/>
            <w:shd w:fill="F7FAFC"/>
            <w:tcMar>
              <w:top w:w="100" w:type="dxa"/>
              <w:bottom w:w="100" w:type="dxa"/>
              <w:left w:w="140" w:type="dxa"/>
              <w:right w:w="140" w:type="dxa"/>
            </w:tcMar>
          </w:tcPr>
          <w:p>
            <w:pPr>
              <w:jc w:val="center"/>
            </w:pPr>
            <w:r>
              <w:rPr>
                <w:rFonts w:ascii="Arial" w:hAnsi="Arial"/>
                <w:color w:val="2D3748"/>
                <w:sz w:val="18"/>
              </w:rPr>
              <w:t>FR-10</w:t>
            </w:r>
          </w:p>
        </w:tc>
        <w:tc>
          <w:tcPr>
            <w:tcW w:type="dxa" w:w="2592"/>
            <w:shd w:fill="F7FAFC"/>
            <w:tcMar>
              <w:top w:w="100" w:type="dxa"/>
              <w:bottom w:w="100" w:type="dxa"/>
              <w:left w:w="140" w:type="dxa"/>
              <w:right w:w="140" w:type="dxa"/>
            </w:tcMar>
          </w:tcPr>
          <w:p>
            <w:pPr>
              <w:jc w:val="left"/>
            </w:pPr>
            <w:r>
              <w:rPr>
                <w:rFonts w:ascii="Arial" w:hAnsi="Arial"/>
                <w:color w:val="2D3748"/>
                <w:sz w:val="18"/>
              </w:rPr>
              <w:t>External Simulation</w:t>
            </w:r>
          </w:p>
        </w:tc>
        <w:tc>
          <w:tcPr>
            <w:tcW w:type="dxa" w:w="5616"/>
            <w:shd w:fill="F7FAFC"/>
            <w:tcMar>
              <w:top w:w="100" w:type="dxa"/>
              <w:bottom w:w="100" w:type="dxa"/>
              <w:left w:w="140" w:type="dxa"/>
              <w:right w:w="140" w:type="dxa"/>
            </w:tcMar>
          </w:tcPr>
          <w:p>
            <w:pPr>
              <w:jc w:val="left"/>
            </w:pPr>
            <w:r>
              <w:rPr>
                <w:rFonts w:ascii="Arial" w:hAnsi="Arial"/>
                <w:color w:val="2D3748"/>
                <w:sz w:val="18"/>
              </w:rPr>
              <w:t>System shall interface with external simulation sandbox APIs (Honeypot.is, GoPlus, Mock) to verify buy/sell execution without executing untrusted bytecode locally.</w:t>
            </w:r>
          </w:p>
        </w:tc>
      </w:tr>
      <w:tr>
        <w:trPr>
          <w:cantSplit/>
        </w:trPr>
        <w:tc>
          <w:tcPr>
            <w:tcW w:type="dxa" w:w="1152"/>
            <w:shd w:fill="FFFFFF"/>
            <w:tcMar>
              <w:top w:w="100" w:type="dxa"/>
              <w:bottom w:w="100" w:type="dxa"/>
              <w:left w:w="140" w:type="dxa"/>
              <w:right w:w="140" w:type="dxa"/>
            </w:tcMar>
          </w:tcPr>
          <w:p>
            <w:pPr>
              <w:jc w:val="center"/>
            </w:pPr>
            <w:r>
              <w:rPr>
                <w:rFonts w:ascii="Arial" w:hAnsi="Arial"/>
                <w:color w:val="2D3748"/>
                <w:sz w:val="18"/>
              </w:rPr>
              <w:t>FR-11</w:t>
            </w:r>
          </w:p>
        </w:tc>
        <w:tc>
          <w:tcPr>
            <w:tcW w:type="dxa" w:w="2592"/>
            <w:shd w:fill="FFFFFF"/>
            <w:tcMar>
              <w:top w:w="100" w:type="dxa"/>
              <w:bottom w:w="100" w:type="dxa"/>
              <w:left w:w="140" w:type="dxa"/>
              <w:right w:w="140" w:type="dxa"/>
            </w:tcMar>
          </w:tcPr>
          <w:p>
            <w:pPr>
              <w:jc w:val="left"/>
            </w:pPr>
            <w:r>
              <w:rPr>
                <w:rFonts w:ascii="Arial" w:hAnsi="Arial"/>
                <w:color w:val="2D3748"/>
                <w:sz w:val="18"/>
              </w:rPr>
              <w:t>Multi-Format Reporting</w:t>
            </w:r>
          </w:p>
        </w:tc>
        <w:tc>
          <w:tcPr>
            <w:tcW w:type="dxa" w:w="5616"/>
            <w:shd w:fill="FFFFFF"/>
            <w:tcMar>
              <w:top w:w="100" w:type="dxa"/>
              <w:bottom w:w="100" w:type="dxa"/>
              <w:left w:w="140" w:type="dxa"/>
              <w:right w:w="140" w:type="dxa"/>
            </w:tcMar>
          </w:tcPr>
          <w:p>
            <w:pPr>
              <w:jc w:val="left"/>
            </w:pPr>
            <w:r>
              <w:rPr>
                <w:rFonts w:ascii="Arial" w:hAnsi="Arial"/>
                <w:color w:val="2D3748"/>
                <w:sz w:val="18"/>
              </w:rPr>
              <w:t>System shall serialize complete audit findings into machine-readable JSON, tabular CSV findings, batch CSV summaries, and human-readable Markdown reports.</w:t>
            </w:r>
          </w:p>
        </w:tc>
      </w:tr>
      <w:tr>
        <w:trPr>
          <w:cantSplit/>
        </w:trPr>
        <w:tc>
          <w:tcPr>
            <w:tcW w:type="dxa" w:w="1152"/>
            <w:shd w:fill="F7FAFC"/>
            <w:tcMar>
              <w:top w:w="100" w:type="dxa"/>
              <w:bottom w:w="100" w:type="dxa"/>
              <w:left w:w="140" w:type="dxa"/>
              <w:right w:w="140" w:type="dxa"/>
            </w:tcMar>
          </w:tcPr>
          <w:p>
            <w:pPr>
              <w:jc w:val="center"/>
            </w:pPr>
            <w:r>
              <w:rPr>
                <w:rFonts w:ascii="Arial" w:hAnsi="Arial"/>
                <w:color w:val="2D3748"/>
                <w:sz w:val="18"/>
              </w:rPr>
              <w:t>FR-12</w:t>
            </w:r>
          </w:p>
        </w:tc>
        <w:tc>
          <w:tcPr>
            <w:tcW w:type="dxa" w:w="2592"/>
            <w:shd w:fill="F7FAFC"/>
            <w:tcMar>
              <w:top w:w="100" w:type="dxa"/>
              <w:bottom w:w="100" w:type="dxa"/>
              <w:left w:w="140" w:type="dxa"/>
              <w:right w:w="140" w:type="dxa"/>
            </w:tcMar>
          </w:tcPr>
          <w:p>
            <w:pPr>
              <w:jc w:val="left"/>
            </w:pPr>
            <w:r>
              <w:rPr>
                <w:rFonts w:ascii="Arial" w:hAnsi="Arial"/>
                <w:color w:val="2D3748"/>
                <w:sz w:val="18"/>
              </w:rPr>
              <w:t>Dual Presentation</w:t>
            </w:r>
          </w:p>
        </w:tc>
        <w:tc>
          <w:tcPr>
            <w:tcW w:type="dxa" w:w="5616"/>
            <w:shd w:fill="F7FAFC"/>
            <w:tcMar>
              <w:top w:w="100" w:type="dxa"/>
              <w:bottom w:w="100" w:type="dxa"/>
              <w:left w:w="140" w:type="dxa"/>
              <w:right w:w="140" w:type="dxa"/>
            </w:tcMar>
          </w:tcPr>
          <w:p>
            <w:pPr>
              <w:jc w:val="left"/>
            </w:pPr>
            <w:r>
              <w:rPr>
                <w:rFonts w:ascii="Arial" w:hAnsi="Arial"/>
                <w:color w:val="2D3748"/>
                <w:sz w:val="18"/>
              </w:rPr>
              <w:t>System shall provide both a Rich terminal CLI (main.py) with standardized exit codes (0/1/2) and a production MERN Stack application with persistent MongoDB storage.</w:t>
            </w:r>
          </w:p>
        </w:tc>
      </w:tr>
    </w:tbl>
    <w:p>
      <w:pPr>
        <w:pStyle w:val="Heading2"/>
        <w:keepNext/>
        <w:spacing w:before="280" w:after="120"/>
      </w:pPr>
      <w:r>
        <w:rPr>
          <w:rFonts w:ascii="Arial" w:hAnsi="Arial"/>
          <w:b/>
          <w:color w:val="2B6CB0"/>
          <w:sz w:val="27"/>
        </w:rPr>
        <w:t>1.4 Non-Functional Requirements (NFR)</w:t>
      </w:r>
    </w:p>
    <w:p>
      <w:pPr>
        <w:pStyle w:val="ListBullet"/>
        <w:spacing w:before="0" w:after="60" w:line="276" w:lineRule="auto"/>
      </w:pPr>
      <w:r>
        <w:rPr>
          <w:rFonts w:ascii="Arial" w:hAnsi="Arial"/>
          <w:b/>
          <w:color w:val="1A365D"/>
          <w:sz w:val="20"/>
        </w:rPr>
        <w:t xml:space="preserve">NFR-1 Performance &amp; Latency: </w:t>
      </w:r>
      <w:r>
        <w:rPr>
          <w:rFonts w:ascii="Arial" w:hAnsi="Arial"/>
          <w:color w:val="2D3748"/>
          <w:sz w:val="20"/>
        </w:rPr>
        <w:t>Static AST analysis of contracts up to 2,000 lines of code shall execute in under 150 milliseconds. Machine learning inference via Random Forest or Logistic Regression shall complete in under 5 milliseconds on standard CPU hardware.</w:t>
      </w:r>
    </w:p>
    <w:p>
      <w:pPr>
        <w:pStyle w:val="ListBullet"/>
        <w:spacing w:before="0" w:after="60" w:line="276" w:lineRule="auto"/>
      </w:pPr>
      <w:r>
        <w:rPr>
          <w:rFonts w:ascii="Arial" w:hAnsi="Arial"/>
          <w:b/>
          <w:color w:val="1A365D"/>
          <w:sz w:val="20"/>
        </w:rPr>
        <w:t xml:space="preserve">NFR-2 Zero-Trust Safety Boundary: </w:t>
      </w:r>
      <w:r>
        <w:rPr>
          <w:rFonts w:ascii="Arial" w:hAnsi="Arial"/>
          <w:color w:val="2D3748"/>
          <w:sz w:val="20"/>
        </w:rPr>
        <w:t>The system shall NEVER compile or execute untrusted EVM bytecode inside the local host runtime, mitigating zero-day compiler exploits or VM sandbox breakout risks.</w:t>
      </w:r>
    </w:p>
    <w:p>
      <w:pPr>
        <w:pStyle w:val="ListBullet"/>
        <w:spacing w:before="0" w:after="60" w:line="276" w:lineRule="auto"/>
      </w:pPr>
      <w:r>
        <w:rPr>
          <w:rFonts w:ascii="Arial" w:hAnsi="Arial"/>
          <w:b/>
          <w:color w:val="1A365D"/>
          <w:sz w:val="20"/>
        </w:rPr>
        <w:t xml:space="preserve">NFR-3 Security &amp; Cryptographic Integrity: </w:t>
      </w:r>
      <w:r>
        <w:rPr>
          <w:rFonts w:ascii="Arial" w:hAnsi="Arial"/>
          <w:color w:val="2D3748"/>
          <w:sz w:val="20"/>
        </w:rPr>
        <w:t>All external blockchain communications shall be read-only RPC queries. The platform shall never request, store, or transmit private keys, mnemonic seed phrases, or signed transactions.</w:t>
      </w:r>
    </w:p>
    <w:p>
      <w:pPr>
        <w:pStyle w:val="ListBullet"/>
        <w:spacing w:before="0" w:after="60" w:line="276" w:lineRule="auto"/>
      </w:pPr>
      <w:r>
        <w:rPr>
          <w:rFonts w:ascii="Arial" w:hAnsi="Arial"/>
          <w:b/>
          <w:color w:val="1A365D"/>
          <w:sz w:val="20"/>
        </w:rPr>
        <w:t xml:space="preserve">NFR-4 Modularity &amp; Maintainability: </w:t>
      </w:r>
      <w:r>
        <w:rPr>
          <w:rFonts w:ascii="Arial" w:hAnsi="Arial"/>
          <w:color w:val="2D3748"/>
          <w:sz w:val="20"/>
        </w:rPr>
        <w:t>The detection engine shall implement an abstract BaseRule interface, allowing security engineers to integrate new attack vector rules without refactoring core scoring logic.</w:t>
      </w:r>
    </w:p>
    <w:p>
      <w:pPr>
        <w:pStyle w:val="ListBullet"/>
        <w:spacing w:before="0" w:after="60" w:line="276" w:lineRule="auto"/>
      </w:pPr>
      <w:r>
        <w:rPr>
          <w:rFonts w:ascii="Arial" w:hAnsi="Arial"/>
          <w:b/>
          <w:color w:val="1A365D"/>
          <w:sz w:val="20"/>
        </w:rPr>
        <w:t xml:space="preserve">NFR-5 Explainability &amp; Auditability: </w:t>
      </w:r>
      <w:r>
        <w:rPr>
          <w:rFonts w:ascii="Arial" w:hAnsi="Arial"/>
          <w:color w:val="2D3748"/>
          <w:sz w:val="20"/>
        </w:rPr>
        <w:t>Every flagged vulnerability must cite the exact source code line number, the matched regular expression or AST token, and a forensic explanation detailing why the pattern constitutes a honeypot risk.</w:t>
      </w:r>
    </w:p>
    <w:p>
      <w:pPr>
        <w:pStyle w:val="ListBullet"/>
        <w:spacing w:before="0" w:after="60" w:line="276" w:lineRule="auto"/>
      </w:pPr>
      <w:r>
        <w:rPr>
          <w:rFonts w:ascii="Arial" w:hAnsi="Arial"/>
          <w:b/>
          <w:color w:val="1A365D"/>
          <w:sz w:val="20"/>
        </w:rPr>
        <w:t xml:space="preserve">NFR-6 Cross-Platform Portability: </w:t>
      </w:r>
      <w:r>
        <w:rPr>
          <w:rFonts w:ascii="Arial" w:hAnsi="Arial"/>
          <w:color w:val="2D3748"/>
          <w:sz w:val="20"/>
        </w:rPr>
        <w:t>The system shall execute reliably across Microsoft Windows 10/11, Ubuntu Linux 20.04/22.04 LTS, and macOS 12+ on Python 3.11, 3.12, and 3.14.</w:t>
      </w:r>
    </w:p>
    <w:p>
      <w:pPr>
        <w:pStyle w:val="Heading2"/>
        <w:keepNext/>
        <w:spacing w:before="280" w:after="120"/>
      </w:pPr>
      <w:r>
        <w:rPr>
          <w:rFonts w:ascii="Arial" w:hAnsi="Arial"/>
          <w:b/>
          <w:color w:val="2B6CB0"/>
          <w:sz w:val="27"/>
        </w:rPr>
        <w:t>1.5 Hardware and Software Requirements Matrix</w:t>
      </w:r>
    </w:p>
    <w:p>
      <w:pPr>
        <w:spacing w:before="0" w:after="120" w:line="288" w:lineRule="auto"/>
      </w:pPr>
      <w:r>
        <w:rPr>
          <w:rFonts w:ascii="Arial" w:hAnsi="Arial"/>
          <w:color w:val="2D3748"/>
          <w:sz w:val="21"/>
        </w:rPr>
        <w:t>The table below enumerates the operational hardware and software platform requirements: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872"/>
            <w:shd w:fill="1A365D"/>
            <w:tcMar>
              <w:top w:w="120" w:type="dxa"/>
              <w:bottom w:w="120" w:type="dxa"/>
              <w:left w:w="140" w:type="dxa"/>
              <w:right w:w="140" w:type="dxa"/>
            </w:tcMar>
          </w:tcPr>
          <w:p>
            <w:pPr>
              <w:jc w:val="center"/>
            </w:pPr>
            <w:r>
              <w:rPr>
                <w:rFonts w:ascii="Arial" w:hAnsi="Arial"/>
                <w:b/>
                <w:color w:val="FFFFFF"/>
                <w:sz w:val="19"/>
              </w:rPr>
              <w:t>Component</w:t>
            </w:r>
          </w:p>
        </w:tc>
        <w:tc>
          <w:tcPr>
            <w:tcW w:type="dxa" w:w="2304"/>
            <w:shd w:fill="1A365D"/>
            <w:tcMar>
              <w:top w:w="120" w:type="dxa"/>
              <w:bottom w:w="120" w:type="dxa"/>
              <w:left w:w="140" w:type="dxa"/>
              <w:right w:w="140" w:type="dxa"/>
            </w:tcMar>
          </w:tcPr>
          <w:p>
            <w:pPr>
              <w:jc w:val="center"/>
            </w:pPr>
            <w:r>
              <w:rPr>
                <w:rFonts w:ascii="Arial" w:hAnsi="Arial"/>
                <w:b/>
                <w:color w:val="FFFFFF"/>
                <w:sz w:val="19"/>
              </w:rPr>
              <w:t>Minimum Requirement</w:t>
            </w:r>
          </w:p>
        </w:tc>
        <w:tc>
          <w:tcPr>
            <w:tcW w:type="dxa" w:w="2592"/>
            <w:shd w:fill="1A365D"/>
            <w:tcMar>
              <w:top w:w="120" w:type="dxa"/>
              <w:bottom w:w="120" w:type="dxa"/>
              <w:left w:w="140" w:type="dxa"/>
              <w:right w:w="140" w:type="dxa"/>
            </w:tcMar>
          </w:tcPr>
          <w:p>
            <w:pPr>
              <w:jc w:val="center"/>
            </w:pPr>
            <w:r>
              <w:rPr>
                <w:rFonts w:ascii="Arial" w:hAnsi="Arial"/>
                <w:b/>
                <w:color w:val="FFFFFF"/>
                <w:sz w:val="19"/>
              </w:rPr>
              <w:t>Recommended Spec</w:t>
            </w:r>
          </w:p>
        </w:tc>
        <w:tc>
          <w:tcPr>
            <w:tcW w:type="dxa" w:w="2592"/>
            <w:shd w:fill="1A365D"/>
            <w:tcMar>
              <w:top w:w="120" w:type="dxa"/>
              <w:bottom w:w="120" w:type="dxa"/>
              <w:left w:w="140" w:type="dxa"/>
              <w:right w:w="140" w:type="dxa"/>
            </w:tcMar>
          </w:tcPr>
          <w:p>
            <w:pPr>
              <w:jc w:val="center"/>
            </w:pPr>
            <w:r>
              <w:rPr>
                <w:rFonts w:ascii="Arial" w:hAnsi="Arial"/>
                <w:b/>
                <w:color w:val="FFFFFF"/>
                <w:sz w:val="19"/>
              </w:rPr>
              <w:t>Operational Purpose</w:t>
            </w:r>
          </w:p>
        </w:tc>
      </w:tr>
      <w:tr>
        <w:trPr>
          <w:cantSplit/>
        </w:trPr>
        <w:tc>
          <w:tcPr>
            <w:tcW w:type="dxa" w:w="1872"/>
            <w:shd w:fill="FFFFFF"/>
            <w:tcMar>
              <w:top w:w="100" w:type="dxa"/>
              <w:bottom w:w="100" w:type="dxa"/>
              <w:left w:w="140" w:type="dxa"/>
              <w:right w:w="140" w:type="dxa"/>
            </w:tcMar>
          </w:tcPr>
          <w:p>
            <w:pPr>
              <w:jc w:val="left"/>
            </w:pPr>
            <w:r>
              <w:rPr>
                <w:rFonts w:ascii="Arial" w:hAnsi="Arial"/>
                <w:color w:val="2D3748"/>
                <w:sz w:val="18"/>
              </w:rPr>
              <w:t>Component</w:t>
            </w:r>
          </w:p>
        </w:tc>
        <w:tc>
          <w:tcPr>
            <w:tcW w:type="dxa" w:w="2304"/>
            <w:shd w:fill="FFFFFF"/>
            <w:tcMar>
              <w:top w:w="100" w:type="dxa"/>
              <w:bottom w:w="100" w:type="dxa"/>
              <w:left w:w="140" w:type="dxa"/>
              <w:right w:w="140" w:type="dxa"/>
            </w:tcMar>
          </w:tcPr>
          <w:p>
            <w:pPr>
              <w:jc w:val="left"/>
            </w:pPr>
            <w:r>
              <w:rPr>
                <w:rFonts w:ascii="Arial" w:hAnsi="Arial"/>
                <w:color w:val="2D3748"/>
                <w:sz w:val="18"/>
              </w:rPr>
              <w:t>Minimum Requirement</w:t>
            </w:r>
          </w:p>
        </w:tc>
        <w:tc>
          <w:tcPr>
            <w:tcW w:type="dxa" w:w="2592"/>
            <w:shd w:fill="FFFFFF"/>
            <w:tcMar>
              <w:top w:w="100" w:type="dxa"/>
              <w:bottom w:w="100" w:type="dxa"/>
              <w:left w:w="140" w:type="dxa"/>
              <w:right w:w="140" w:type="dxa"/>
            </w:tcMar>
          </w:tcPr>
          <w:p>
            <w:pPr>
              <w:jc w:val="left"/>
            </w:pPr>
            <w:r>
              <w:rPr>
                <w:rFonts w:ascii="Arial" w:hAnsi="Arial"/>
                <w:color w:val="2D3748"/>
                <w:sz w:val="18"/>
              </w:rPr>
              <w:t>Recommended Specification</w:t>
            </w:r>
          </w:p>
        </w:tc>
        <w:tc>
          <w:tcPr>
            <w:tcW w:type="dxa" w:w="2592"/>
            <w:shd w:fill="FFFFFF"/>
            <w:tcMar>
              <w:top w:w="100" w:type="dxa"/>
              <w:bottom w:w="100" w:type="dxa"/>
              <w:left w:w="140" w:type="dxa"/>
              <w:right w:w="140" w:type="dxa"/>
            </w:tcMar>
          </w:tcPr>
          <w:p>
            <w:pPr>
              <w:jc w:val="left"/>
            </w:pPr>
            <w:r>
              <w:rPr>
                <w:rFonts w:ascii="Arial" w:hAnsi="Arial"/>
                <w:color w:val="2D3748"/>
                <w:sz w:val="18"/>
              </w:rPr>
              <w:t>Purpose in Project</w:t>
            </w:r>
          </w:p>
        </w:tc>
      </w:tr>
      <w:tr>
        <w:trPr>
          <w:cantSplit/>
        </w:trPr>
        <w:tc>
          <w:tcPr>
            <w:tcW w:type="dxa" w:w="1872"/>
            <w:shd w:fill="F7FAFC"/>
            <w:tcMar>
              <w:top w:w="100" w:type="dxa"/>
              <w:bottom w:w="100" w:type="dxa"/>
              <w:left w:w="140" w:type="dxa"/>
              <w:right w:w="140" w:type="dxa"/>
            </w:tcMar>
          </w:tcPr>
          <w:p>
            <w:pPr>
              <w:jc w:val="left"/>
            </w:pPr>
            <w:r>
              <w:rPr>
                <w:rFonts w:ascii="Arial" w:hAnsi="Arial"/>
                <w:color w:val="2D3748"/>
                <w:sz w:val="18"/>
              </w:rPr>
              <w:t>Processor</w:t>
            </w:r>
          </w:p>
        </w:tc>
        <w:tc>
          <w:tcPr>
            <w:tcW w:type="dxa" w:w="2304"/>
            <w:shd w:fill="F7FAFC"/>
            <w:tcMar>
              <w:top w:w="100" w:type="dxa"/>
              <w:bottom w:w="100" w:type="dxa"/>
              <w:left w:w="140" w:type="dxa"/>
              <w:right w:w="140" w:type="dxa"/>
            </w:tcMar>
          </w:tcPr>
          <w:p>
            <w:pPr>
              <w:jc w:val="left"/>
            </w:pPr>
            <w:r>
              <w:rPr>
                <w:rFonts w:ascii="Arial" w:hAnsi="Arial"/>
                <w:color w:val="2D3748"/>
                <w:sz w:val="18"/>
              </w:rPr>
              <w:t>Dual-Core 2.0 GHz (x86_64 or ARM64)</w:t>
            </w:r>
          </w:p>
        </w:tc>
        <w:tc>
          <w:tcPr>
            <w:tcW w:type="dxa" w:w="2592"/>
            <w:shd w:fill="F7FAFC"/>
            <w:tcMar>
              <w:top w:w="100" w:type="dxa"/>
              <w:bottom w:w="100" w:type="dxa"/>
              <w:left w:w="140" w:type="dxa"/>
              <w:right w:w="140" w:type="dxa"/>
            </w:tcMar>
          </w:tcPr>
          <w:p>
            <w:pPr>
              <w:jc w:val="left"/>
            </w:pPr>
            <w:r>
              <w:rPr>
                <w:rFonts w:ascii="Arial" w:hAnsi="Arial"/>
                <w:color w:val="2D3748"/>
                <w:sz w:val="18"/>
              </w:rPr>
              <w:t>Quad-Core 2.8 GHz or higher</w:t>
            </w:r>
          </w:p>
        </w:tc>
        <w:tc>
          <w:tcPr>
            <w:tcW w:type="dxa" w:w="2592"/>
            <w:shd w:fill="F7FAFC"/>
            <w:tcMar>
              <w:top w:w="100" w:type="dxa"/>
              <w:bottom w:w="100" w:type="dxa"/>
              <w:left w:w="140" w:type="dxa"/>
              <w:right w:w="140" w:type="dxa"/>
            </w:tcMar>
          </w:tcPr>
          <w:p>
            <w:pPr>
              <w:jc w:val="left"/>
            </w:pPr>
            <w:r>
              <w:rPr>
                <w:rFonts w:ascii="Arial" w:hAnsi="Arial"/>
                <w:color w:val="2D3748"/>
                <w:sz w:val="18"/>
              </w:rPr>
              <w:t>AST Parsing, Regex Matching, ML Inference</w:t>
            </w:r>
          </w:p>
        </w:tc>
      </w:tr>
      <w:tr>
        <w:trPr>
          <w:cantSplit/>
        </w:trPr>
        <w:tc>
          <w:tcPr>
            <w:tcW w:type="dxa" w:w="1872"/>
            <w:shd w:fill="FFFFFF"/>
            <w:tcMar>
              <w:top w:w="100" w:type="dxa"/>
              <w:bottom w:w="100" w:type="dxa"/>
              <w:left w:w="140" w:type="dxa"/>
              <w:right w:w="140" w:type="dxa"/>
            </w:tcMar>
          </w:tcPr>
          <w:p>
            <w:pPr>
              <w:jc w:val="left"/>
            </w:pPr>
            <w:r>
              <w:rPr>
                <w:rFonts w:ascii="Arial" w:hAnsi="Arial"/>
                <w:color w:val="2D3748"/>
                <w:sz w:val="18"/>
              </w:rPr>
              <w:t>System Memory</w:t>
            </w:r>
          </w:p>
        </w:tc>
        <w:tc>
          <w:tcPr>
            <w:tcW w:type="dxa" w:w="2304"/>
            <w:shd w:fill="FFFFFF"/>
            <w:tcMar>
              <w:top w:w="100" w:type="dxa"/>
              <w:bottom w:w="100" w:type="dxa"/>
              <w:left w:w="140" w:type="dxa"/>
              <w:right w:w="140" w:type="dxa"/>
            </w:tcMar>
          </w:tcPr>
          <w:p>
            <w:pPr>
              <w:jc w:val="left"/>
            </w:pPr>
            <w:r>
              <w:rPr>
                <w:rFonts w:ascii="Arial" w:hAnsi="Arial"/>
                <w:color w:val="2D3748"/>
                <w:sz w:val="18"/>
              </w:rPr>
              <w:t>4 GB RAM</w:t>
            </w:r>
          </w:p>
        </w:tc>
        <w:tc>
          <w:tcPr>
            <w:tcW w:type="dxa" w:w="2592"/>
            <w:shd w:fill="FFFFFF"/>
            <w:tcMar>
              <w:top w:w="100" w:type="dxa"/>
              <w:bottom w:w="100" w:type="dxa"/>
              <w:left w:w="140" w:type="dxa"/>
              <w:right w:w="140" w:type="dxa"/>
            </w:tcMar>
          </w:tcPr>
          <w:p>
            <w:pPr>
              <w:jc w:val="left"/>
            </w:pPr>
            <w:r>
              <w:rPr>
                <w:rFonts w:ascii="Arial" w:hAnsi="Arial"/>
                <w:color w:val="2D3748"/>
                <w:sz w:val="18"/>
              </w:rPr>
              <w:t>8 GB - 16 GB RAM</w:t>
            </w:r>
          </w:p>
        </w:tc>
        <w:tc>
          <w:tcPr>
            <w:tcW w:type="dxa" w:w="2592"/>
            <w:shd w:fill="FFFFFF"/>
            <w:tcMar>
              <w:top w:w="100" w:type="dxa"/>
              <w:bottom w:w="100" w:type="dxa"/>
              <w:left w:w="140" w:type="dxa"/>
              <w:right w:w="140" w:type="dxa"/>
            </w:tcMar>
          </w:tcPr>
          <w:p>
            <w:pPr>
              <w:jc w:val="left"/>
            </w:pPr>
            <w:r>
              <w:rPr>
                <w:rFonts w:ascii="Arial" w:hAnsi="Arial"/>
                <w:color w:val="2D3748"/>
                <w:sz w:val="18"/>
              </w:rPr>
              <w:t>Concurrent execution of MERN stack &amp; ML pipeline</w:t>
            </w:r>
          </w:p>
        </w:tc>
      </w:tr>
      <w:tr>
        <w:trPr>
          <w:cantSplit/>
        </w:trPr>
        <w:tc>
          <w:tcPr>
            <w:tcW w:type="dxa" w:w="1872"/>
            <w:shd w:fill="F7FAFC"/>
            <w:tcMar>
              <w:top w:w="100" w:type="dxa"/>
              <w:bottom w:w="100" w:type="dxa"/>
              <w:left w:w="140" w:type="dxa"/>
              <w:right w:w="140" w:type="dxa"/>
            </w:tcMar>
          </w:tcPr>
          <w:p>
            <w:pPr>
              <w:jc w:val="left"/>
            </w:pPr>
            <w:r>
              <w:rPr>
                <w:rFonts w:ascii="Arial" w:hAnsi="Arial"/>
                <w:color w:val="2D3748"/>
                <w:sz w:val="18"/>
              </w:rPr>
              <w:t>Storage Space</w:t>
            </w:r>
          </w:p>
        </w:tc>
        <w:tc>
          <w:tcPr>
            <w:tcW w:type="dxa" w:w="2304"/>
            <w:shd w:fill="F7FAFC"/>
            <w:tcMar>
              <w:top w:w="100" w:type="dxa"/>
              <w:bottom w:w="100" w:type="dxa"/>
              <w:left w:w="140" w:type="dxa"/>
              <w:right w:w="140" w:type="dxa"/>
            </w:tcMar>
          </w:tcPr>
          <w:p>
            <w:pPr>
              <w:jc w:val="left"/>
            </w:pPr>
            <w:r>
              <w:rPr>
                <w:rFonts w:ascii="Arial" w:hAnsi="Arial"/>
                <w:color w:val="2D3748"/>
                <w:sz w:val="18"/>
              </w:rPr>
              <w:t>500 MB free disk space</w:t>
            </w:r>
          </w:p>
        </w:tc>
        <w:tc>
          <w:tcPr>
            <w:tcW w:type="dxa" w:w="2592"/>
            <w:shd w:fill="F7FAFC"/>
            <w:tcMar>
              <w:top w:w="100" w:type="dxa"/>
              <w:bottom w:w="100" w:type="dxa"/>
              <w:left w:w="140" w:type="dxa"/>
              <w:right w:w="140" w:type="dxa"/>
            </w:tcMar>
          </w:tcPr>
          <w:p>
            <w:pPr>
              <w:jc w:val="left"/>
            </w:pPr>
            <w:r>
              <w:rPr>
                <w:rFonts w:ascii="Arial" w:hAnsi="Arial"/>
                <w:color w:val="2D3748"/>
                <w:sz w:val="18"/>
              </w:rPr>
              <w:t>2 GB SSD storage</w:t>
            </w:r>
          </w:p>
        </w:tc>
        <w:tc>
          <w:tcPr>
            <w:tcW w:type="dxa" w:w="2592"/>
            <w:shd w:fill="F7FAFC"/>
            <w:tcMar>
              <w:top w:w="100" w:type="dxa"/>
              <w:bottom w:w="100" w:type="dxa"/>
              <w:left w:w="140" w:type="dxa"/>
              <w:right w:w="140" w:type="dxa"/>
            </w:tcMar>
          </w:tcPr>
          <w:p>
            <w:pPr>
              <w:jc w:val="left"/>
            </w:pPr>
            <w:r>
              <w:rPr>
                <w:rFonts w:ascii="Arial" w:hAnsi="Arial"/>
                <w:color w:val="2D3748"/>
                <w:sz w:val="18"/>
              </w:rPr>
              <w:t>Repository, dataset, models, node_modules, logs</w:t>
            </w:r>
          </w:p>
        </w:tc>
      </w:tr>
      <w:tr>
        <w:trPr>
          <w:cantSplit/>
        </w:trPr>
        <w:tc>
          <w:tcPr>
            <w:tcW w:type="dxa" w:w="1872"/>
            <w:shd w:fill="FFFFFF"/>
            <w:tcMar>
              <w:top w:w="100" w:type="dxa"/>
              <w:bottom w:w="100" w:type="dxa"/>
              <w:left w:w="140" w:type="dxa"/>
              <w:right w:w="140" w:type="dxa"/>
            </w:tcMar>
          </w:tcPr>
          <w:p>
            <w:pPr>
              <w:jc w:val="left"/>
            </w:pPr>
            <w:r>
              <w:rPr>
                <w:rFonts w:ascii="Arial" w:hAnsi="Arial"/>
                <w:color w:val="2D3748"/>
                <w:sz w:val="18"/>
              </w:rPr>
              <w:t>Network Interface</w:t>
            </w:r>
          </w:p>
        </w:tc>
        <w:tc>
          <w:tcPr>
            <w:tcW w:type="dxa" w:w="2304"/>
            <w:shd w:fill="FFFFFF"/>
            <w:tcMar>
              <w:top w:w="100" w:type="dxa"/>
              <w:bottom w:w="100" w:type="dxa"/>
              <w:left w:w="140" w:type="dxa"/>
              <w:right w:w="140" w:type="dxa"/>
            </w:tcMar>
          </w:tcPr>
          <w:p>
            <w:pPr>
              <w:jc w:val="left"/>
            </w:pPr>
            <w:r>
              <w:rPr>
                <w:rFonts w:ascii="Arial" w:hAnsi="Arial"/>
                <w:color w:val="2D3748"/>
                <w:sz w:val="18"/>
              </w:rPr>
              <w:t>1 Mbps broadband connection</w:t>
            </w:r>
          </w:p>
        </w:tc>
        <w:tc>
          <w:tcPr>
            <w:tcW w:type="dxa" w:w="2592"/>
            <w:shd w:fill="FFFFFF"/>
            <w:tcMar>
              <w:top w:w="100" w:type="dxa"/>
              <w:bottom w:w="100" w:type="dxa"/>
              <w:left w:w="140" w:type="dxa"/>
              <w:right w:w="140" w:type="dxa"/>
            </w:tcMar>
          </w:tcPr>
          <w:p>
            <w:pPr>
              <w:jc w:val="left"/>
            </w:pPr>
            <w:r>
              <w:rPr>
                <w:rFonts w:ascii="Arial" w:hAnsi="Arial"/>
                <w:color w:val="2D3748"/>
                <w:sz w:val="18"/>
              </w:rPr>
              <w:t>10 Mbps stable Internet connection</w:t>
            </w:r>
          </w:p>
        </w:tc>
        <w:tc>
          <w:tcPr>
            <w:tcW w:type="dxa" w:w="2592"/>
            <w:shd w:fill="FFFFFF"/>
            <w:tcMar>
              <w:top w:w="100" w:type="dxa"/>
              <w:bottom w:w="100" w:type="dxa"/>
              <w:left w:w="140" w:type="dxa"/>
              <w:right w:w="140" w:type="dxa"/>
            </w:tcMar>
          </w:tcPr>
          <w:p>
            <w:pPr>
              <w:jc w:val="left"/>
            </w:pPr>
            <w:r>
              <w:rPr>
                <w:rFonts w:ascii="Arial" w:hAnsi="Arial"/>
                <w:color w:val="2D3748"/>
                <w:sz w:val="18"/>
              </w:rPr>
              <w:t>Querying Etherscan APIs &amp; public Web3 RPC nodes</w:t>
            </w:r>
          </w:p>
        </w:tc>
      </w:tr>
      <w:tr>
        <w:trPr>
          <w:cantSplit/>
        </w:trPr>
        <w:tc>
          <w:tcPr>
            <w:tcW w:type="dxa" w:w="1872"/>
            <w:shd w:fill="F7FAFC"/>
            <w:tcMar>
              <w:top w:w="100" w:type="dxa"/>
              <w:bottom w:w="100" w:type="dxa"/>
              <w:left w:w="140" w:type="dxa"/>
              <w:right w:w="140" w:type="dxa"/>
            </w:tcMar>
          </w:tcPr>
          <w:p>
            <w:pPr>
              <w:jc w:val="left"/>
            </w:pPr>
            <w:r>
              <w:rPr>
                <w:rFonts w:ascii="Arial" w:hAnsi="Arial"/>
                <w:color w:val="2D3748"/>
                <w:sz w:val="18"/>
              </w:rPr>
              <w:t>Python Runtime</w:t>
            </w:r>
          </w:p>
        </w:tc>
        <w:tc>
          <w:tcPr>
            <w:tcW w:type="dxa" w:w="2304"/>
            <w:shd w:fill="F7FAFC"/>
            <w:tcMar>
              <w:top w:w="100" w:type="dxa"/>
              <w:bottom w:w="100" w:type="dxa"/>
              <w:left w:w="140" w:type="dxa"/>
              <w:right w:w="140" w:type="dxa"/>
            </w:tcMar>
          </w:tcPr>
          <w:p>
            <w:pPr>
              <w:jc w:val="left"/>
            </w:pPr>
            <w:r>
              <w:rPr>
                <w:rFonts w:ascii="Arial" w:hAnsi="Arial"/>
                <w:color w:val="2D3748"/>
                <w:sz w:val="18"/>
              </w:rPr>
              <w:t>Python 3.11.x (CPython)</w:t>
            </w:r>
          </w:p>
        </w:tc>
        <w:tc>
          <w:tcPr>
            <w:tcW w:type="dxa" w:w="2592"/>
            <w:shd w:fill="F7FAFC"/>
            <w:tcMar>
              <w:top w:w="100" w:type="dxa"/>
              <w:bottom w:w="100" w:type="dxa"/>
              <w:left w:w="140" w:type="dxa"/>
              <w:right w:w="140" w:type="dxa"/>
            </w:tcMar>
          </w:tcPr>
          <w:p>
            <w:pPr>
              <w:jc w:val="left"/>
            </w:pPr>
            <w:r>
              <w:rPr>
                <w:rFonts w:ascii="Arial" w:hAnsi="Arial"/>
                <w:color w:val="2D3748"/>
                <w:sz w:val="18"/>
              </w:rPr>
              <w:t>Python 3.12.x or 3.14.x</w:t>
            </w:r>
          </w:p>
        </w:tc>
        <w:tc>
          <w:tcPr>
            <w:tcW w:type="dxa" w:w="2592"/>
            <w:shd w:fill="F7FAFC"/>
            <w:tcMar>
              <w:top w:w="100" w:type="dxa"/>
              <w:bottom w:w="100" w:type="dxa"/>
              <w:left w:w="140" w:type="dxa"/>
              <w:right w:w="140" w:type="dxa"/>
            </w:tcMar>
          </w:tcPr>
          <w:p>
            <w:pPr>
              <w:jc w:val="left"/>
            </w:pPr>
            <w:r>
              <w:rPr>
                <w:rFonts w:ascii="Arial" w:hAnsi="Arial"/>
                <w:color w:val="2D3748"/>
                <w:sz w:val="18"/>
              </w:rPr>
              <w:t>Core detection engine, AST parser, and ML models</w:t>
            </w:r>
          </w:p>
        </w:tc>
      </w:tr>
      <w:tr>
        <w:trPr>
          <w:cantSplit/>
        </w:trPr>
        <w:tc>
          <w:tcPr>
            <w:tcW w:type="dxa" w:w="1872"/>
            <w:shd w:fill="FFFFFF"/>
            <w:tcMar>
              <w:top w:w="100" w:type="dxa"/>
              <w:bottom w:w="100" w:type="dxa"/>
              <w:left w:w="140" w:type="dxa"/>
              <w:right w:w="140" w:type="dxa"/>
            </w:tcMar>
          </w:tcPr>
          <w:p>
            <w:pPr>
              <w:jc w:val="left"/>
            </w:pPr>
            <w:r>
              <w:rPr>
                <w:rFonts w:ascii="Arial" w:hAnsi="Arial"/>
                <w:color w:val="2D3748"/>
                <w:sz w:val="18"/>
              </w:rPr>
              <w:t>Node.js Environment</w:t>
            </w:r>
          </w:p>
        </w:tc>
        <w:tc>
          <w:tcPr>
            <w:tcW w:type="dxa" w:w="2304"/>
            <w:shd w:fill="FFFFFF"/>
            <w:tcMar>
              <w:top w:w="100" w:type="dxa"/>
              <w:bottom w:w="100" w:type="dxa"/>
              <w:left w:w="140" w:type="dxa"/>
              <w:right w:w="140" w:type="dxa"/>
            </w:tcMar>
          </w:tcPr>
          <w:p>
            <w:pPr>
              <w:jc w:val="left"/>
            </w:pPr>
            <w:r>
              <w:rPr>
                <w:rFonts w:ascii="Arial" w:hAnsi="Arial"/>
                <w:color w:val="2D3748"/>
                <w:sz w:val="18"/>
              </w:rPr>
              <w:t>Node.js 18.x LTS (Optional)</w:t>
            </w:r>
          </w:p>
        </w:tc>
        <w:tc>
          <w:tcPr>
            <w:tcW w:type="dxa" w:w="2592"/>
            <w:shd w:fill="FFFFFF"/>
            <w:tcMar>
              <w:top w:w="100" w:type="dxa"/>
              <w:bottom w:w="100" w:type="dxa"/>
              <w:left w:w="140" w:type="dxa"/>
              <w:right w:w="140" w:type="dxa"/>
            </w:tcMar>
          </w:tcPr>
          <w:p>
            <w:pPr>
              <w:jc w:val="left"/>
            </w:pPr>
            <w:r>
              <w:rPr>
                <w:rFonts w:ascii="Arial" w:hAnsi="Arial"/>
                <w:color w:val="2D3748"/>
                <w:sz w:val="18"/>
              </w:rPr>
              <w:t>Node.js 20.x LTS + npm 10+</w:t>
            </w:r>
          </w:p>
        </w:tc>
        <w:tc>
          <w:tcPr>
            <w:tcW w:type="dxa" w:w="2592"/>
            <w:shd w:fill="FFFFFF"/>
            <w:tcMar>
              <w:top w:w="100" w:type="dxa"/>
              <w:bottom w:w="100" w:type="dxa"/>
              <w:left w:w="140" w:type="dxa"/>
              <w:right w:w="140" w:type="dxa"/>
            </w:tcMar>
          </w:tcPr>
          <w:p>
            <w:pPr>
              <w:jc w:val="left"/>
            </w:pPr>
            <w:r>
              <w:rPr>
                <w:rFonts w:ascii="Arial" w:hAnsi="Arial"/>
                <w:color w:val="2D3748"/>
                <w:sz w:val="18"/>
              </w:rPr>
              <w:t>Hosting Express REST backend &amp; Vite client build</w:t>
            </w:r>
          </w:p>
        </w:tc>
      </w:tr>
      <w:tr>
        <w:trPr>
          <w:cantSplit/>
        </w:trPr>
        <w:tc>
          <w:tcPr>
            <w:tcW w:type="dxa" w:w="1872"/>
            <w:shd w:fill="F7FAFC"/>
            <w:tcMar>
              <w:top w:w="100" w:type="dxa"/>
              <w:bottom w:w="100" w:type="dxa"/>
              <w:left w:w="140" w:type="dxa"/>
              <w:right w:w="140" w:type="dxa"/>
            </w:tcMar>
          </w:tcPr>
          <w:p>
            <w:pPr>
              <w:jc w:val="left"/>
            </w:pPr>
            <w:r>
              <w:rPr>
                <w:rFonts w:ascii="Arial" w:hAnsi="Arial"/>
                <w:color w:val="2D3748"/>
                <w:sz w:val="18"/>
              </w:rPr>
              <w:t>Database System</w:t>
            </w:r>
          </w:p>
        </w:tc>
        <w:tc>
          <w:tcPr>
            <w:tcW w:type="dxa" w:w="2304"/>
            <w:shd w:fill="F7FAFC"/>
            <w:tcMar>
              <w:top w:w="100" w:type="dxa"/>
              <w:bottom w:w="100" w:type="dxa"/>
              <w:left w:w="140" w:type="dxa"/>
              <w:right w:w="140" w:type="dxa"/>
            </w:tcMar>
          </w:tcPr>
          <w:p>
            <w:pPr>
              <w:jc w:val="left"/>
            </w:pPr>
            <w:r>
              <w:rPr>
                <w:rFonts w:ascii="Arial" w:hAnsi="Arial"/>
                <w:color w:val="2D3748"/>
                <w:sz w:val="18"/>
              </w:rPr>
              <w:t>MongoDB Community 6.0+</w:t>
            </w:r>
          </w:p>
        </w:tc>
        <w:tc>
          <w:tcPr>
            <w:tcW w:type="dxa" w:w="2592"/>
            <w:shd w:fill="F7FAFC"/>
            <w:tcMar>
              <w:top w:w="100" w:type="dxa"/>
              <w:bottom w:w="100" w:type="dxa"/>
              <w:left w:w="140" w:type="dxa"/>
              <w:right w:w="140" w:type="dxa"/>
            </w:tcMar>
          </w:tcPr>
          <w:p>
            <w:pPr>
              <w:jc w:val="left"/>
            </w:pPr>
            <w:r>
              <w:rPr>
                <w:rFonts w:ascii="Arial" w:hAnsi="Arial"/>
                <w:color w:val="2D3748"/>
                <w:sz w:val="18"/>
              </w:rPr>
              <w:t>MongoDB 7.0+ or Atlas Cloud URI</w:t>
            </w:r>
          </w:p>
        </w:tc>
        <w:tc>
          <w:tcPr>
            <w:tcW w:type="dxa" w:w="2592"/>
            <w:shd w:fill="F7FAFC"/>
            <w:tcMar>
              <w:top w:w="100" w:type="dxa"/>
              <w:bottom w:w="100" w:type="dxa"/>
              <w:left w:w="140" w:type="dxa"/>
              <w:right w:w="140" w:type="dxa"/>
            </w:tcMar>
          </w:tcPr>
          <w:p>
            <w:pPr>
              <w:jc w:val="left"/>
            </w:pPr>
            <w:r>
              <w:rPr>
                <w:rFonts w:ascii="Arial" w:hAnsi="Arial"/>
                <w:color w:val="2D3748"/>
                <w:sz w:val="18"/>
              </w:rPr>
              <w:t>Persistent storage of audit logs and historical scans</w:t>
            </w:r>
          </w:p>
        </w:tc>
      </w:tr>
      <w:tr>
        <w:trPr>
          <w:cantSplit/>
        </w:trPr>
        <w:tc>
          <w:tcPr>
            <w:tcW w:type="dxa" w:w="1872"/>
            <w:shd w:fill="FFFFFF"/>
            <w:tcMar>
              <w:top w:w="100" w:type="dxa"/>
              <w:bottom w:w="100" w:type="dxa"/>
              <w:left w:w="140" w:type="dxa"/>
              <w:right w:w="140" w:type="dxa"/>
            </w:tcMar>
          </w:tcPr>
          <w:p>
            <w:pPr>
              <w:jc w:val="left"/>
            </w:pPr>
            <w:r>
              <w:rPr>
                <w:rFonts w:ascii="Arial" w:hAnsi="Arial"/>
                <w:color w:val="2D3748"/>
                <w:sz w:val="18"/>
              </w:rPr>
              <w:t>Web Browser</w:t>
            </w:r>
          </w:p>
        </w:tc>
        <w:tc>
          <w:tcPr>
            <w:tcW w:type="dxa" w:w="2304"/>
            <w:shd w:fill="FFFFFF"/>
            <w:tcMar>
              <w:top w:w="100" w:type="dxa"/>
              <w:bottom w:w="100" w:type="dxa"/>
              <w:left w:w="140" w:type="dxa"/>
              <w:right w:w="140" w:type="dxa"/>
            </w:tcMar>
          </w:tcPr>
          <w:p>
            <w:pPr>
              <w:jc w:val="left"/>
            </w:pPr>
            <w:r>
              <w:rPr>
                <w:rFonts w:ascii="Arial" w:hAnsi="Arial"/>
                <w:color w:val="2D3748"/>
                <w:sz w:val="18"/>
              </w:rPr>
              <w:t>Chromium 100+ or Firefox 100+</w:t>
            </w:r>
          </w:p>
        </w:tc>
        <w:tc>
          <w:tcPr>
            <w:tcW w:type="dxa" w:w="2592"/>
            <w:shd w:fill="FFFFFF"/>
            <w:tcMar>
              <w:top w:w="100" w:type="dxa"/>
              <w:bottom w:w="100" w:type="dxa"/>
              <w:left w:w="140" w:type="dxa"/>
              <w:right w:w="140" w:type="dxa"/>
            </w:tcMar>
          </w:tcPr>
          <w:p>
            <w:pPr>
              <w:jc w:val="left"/>
            </w:pPr>
            <w:r>
              <w:rPr>
                <w:rFonts w:ascii="Arial" w:hAnsi="Arial"/>
                <w:color w:val="2D3748"/>
                <w:sz w:val="18"/>
              </w:rPr>
              <w:t>Latest Chrome, Brave, or Edge</w:t>
            </w:r>
          </w:p>
        </w:tc>
        <w:tc>
          <w:tcPr>
            <w:tcW w:type="dxa" w:w="2592"/>
            <w:shd w:fill="FFFFFF"/>
            <w:tcMar>
              <w:top w:w="100" w:type="dxa"/>
              <w:bottom w:w="100" w:type="dxa"/>
              <w:left w:w="140" w:type="dxa"/>
              <w:right w:w="140" w:type="dxa"/>
            </w:tcMar>
          </w:tcPr>
          <w:p>
            <w:pPr>
              <w:jc w:val="left"/>
            </w:pPr>
            <w:r>
              <w:rPr>
                <w:rFonts w:ascii="Arial" w:hAnsi="Arial"/>
                <w:color w:val="2D3748"/>
                <w:sz w:val="18"/>
              </w:rPr>
              <w:t>Rendering MERN SPA, SVG gauges, and audit reports</w:t>
            </w:r>
          </w:p>
        </w:tc>
      </w:tr>
    </w:tbl>
    <w:p>
      <w:pPr>
        <w:pStyle w:val="Heading2"/>
        <w:keepNext/>
        <w:spacing w:before="280" w:after="120"/>
      </w:pPr>
      <w:r>
        <w:rPr>
          <w:rFonts w:ascii="Arial" w:hAnsi="Arial"/>
          <w:b/>
          <w:color w:val="2B6CB0"/>
          <w:sz w:val="27"/>
        </w:rPr>
        <w:t>1.6 System Constraints, Assumptions and Dependencies</w:t>
      </w:r>
    </w:p>
    <w:p>
      <w:pPr>
        <w:pStyle w:val="ListBullet"/>
        <w:spacing w:before="0" w:after="60" w:line="276" w:lineRule="auto"/>
      </w:pPr>
      <w:r>
        <w:rPr>
          <w:rFonts w:ascii="Arial" w:hAnsi="Arial"/>
          <w:b/>
          <w:color w:val="1A365D"/>
          <w:sz w:val="20"/>
        </w:rPr>
        <w:t xml:space="preserve">Constraint 1 - Source Verification Dependency: </w:t>
      </w:r>
      <w:r>
        <w:rPr>
          <w:rFonts w:ascii="Arial" w:hAnsi="Arial"/>
          <w:color w:val="2D3748"/>
          <w:sz w:val="20"/>
        </w:rPr>
        <w:t>Static analysis requires readable Solidity source code. If an unverified contract address is audited, the engine safely falls back to bytecode-only analysis, disabling high-level AST rules.</w:t>
      </w:r>
    </w:p>
    <w:p>
      <w:pPr>
        <w:pStyle w:val="ListBullet"/>
        <w:spacing w:before="0" w:after="60" w:line="276" w:lineRule="auto"/>
      </w:pPr>
      <w:r>
        <w:rPr>
          <w:rFonts w:ascii="Arial" w:hAnsi="Arial"/>
          <w:b/>
          <w:color w:val="1A365D"/>
          <w:sz w:val="20"/>
        </w:rPr>
        <w:t xml:space="preserve">Constraint 2 - API Quotas &amp; Rate Limits: </w:t>
      </w:r>
      <w:r>
        <w:rPr>
          <w:rFonts w:ascii="Arial" w:hAnsi="Arial"/>
          <w:color w:val="2D3748"/>
          <w:sz w:val="20"/>
        </w:rPr>
        <w:t>Free-tier Etherscan and BscScan API keys enforce a limit of 5 requests per second. The system incorporates retry backoffs and public fallback endpoints.</w:t>
      </w:r>
    </w:p>
    <w:p>
      <w:pPr>
        <w:pStyle w:val="ListBullet"/>
        <w:spacing w:before="0" w:after="60" w:line="276" w:lineRule="auto"/>
      </w:pPr>
      <w:r>
        <w:rPr>
          <w:rFonts w:ascii="Arial" w:hAnsi="Arial"/>
          <w:b/>
          <w:color w:val="1A365D"/>
          <w:sz w:val="20"/>
        </w:rPr>
        <w:t xml:space="preserve">Constraint 3 - Proxy Architecture Boundary: </w:t>
      </w:r>
      <w:r>
        <w:rPr>
          <w:rFonts w:ascii="Arial" w:hAnsi="Arial"/>
          <w:color w:val="2D3748"/>
          <w:sz w:val="20"/>
        </w:rPr>
        <w:t>For upgradeable proxy contracts (ERC-1967/UUPS), the detector analyzes the dispatcher proxy unless the implementation address is explicitly provided.</w:t>
      </w:r>
    </w:p>
    <w:p>
      <w:r>
        <w:br w:type="page"/>
      </w:r>
    </w:p>
    <w:p>
      <w:pPr>
        <w:pStyle w:val="Heading1"/>
        <w:keepNext/>
        <w:spacing w:before="400" w:after="160"/>
      </w:pPr>
      <w:r>
        <w:rPr>
          <w:rFonts w:ascii="Arial" w:hAnsi="Arial"/>
          <w:b/>
          <w:color w:val="1A365D"/>
          <w:sz w:val="34"/>
        </w:rPr>
        <w:t>2.0 System Analysis and Design (SAD)</w:t>
      </w:r>
    </w:p>
    <w:p>
      <w:pPr>
        <w:pStyle w:val="Heading2"/>
        <w:keepNext/>
        <w:spacing w:before="280" w:after="120"/>
      </w:pPr>
      <w:r>
        <w:rPr>
          <w:rFonts w:ascii="Arial" w:hAnsi="Arial"/>
          <w:b/>
          <w:color w:val="2B6CB0"/>
          <w:sz w:val="27"/>
        </w:rPr>
        <w:t>2.1 Architectural Overview &amp; Design Philosophy</w:t>
      </w:r>
    </w:p>
    <w:p>
      <w:pPr>
        <w:spacing w:before="0" w:after="120" w:line="288" w:lineRule="auto"/>
      </w:pPr>
      <w:r>
        <w:rPr>
          <w:rFonts w:ascii="Arial" w:hAnsi="Arial"/>
          <w:color w:val="2D3748"/>
          <w:sz w:val="21"/>
        </w:rPr>
        <w:t>The architecture of the Blockchain Smart Contract Honeypot Attack Detector is founded on a **Dual-Engine Hybrid Paradigm**. In smart contract security, relying strictly on single-vector heuristic signatures creates unacceptably high false-positive rates when evaluating sophisticated DeFi protocols (such as legitimate fee-on-transfer tokens, staking reflections, or emergency circuit breakers). Conversely, relying exclusively on black-box deep learning or neural classifiers strips investigators of the explainability required in forensic investigations, where legal and security claims must be substantiated by exact source code line references.</w:t>
      </w:r>
    </w:p>
    <w:p>
      <w:pPr>
        <w:spacing w:before="0" w:after="120" w:line="288" w:lineRule="auto"/>
      </w:pPr>
      <w:r>
        <w:rPr>
          <w:rFonts w:ascii="Arial" w:hAnsi="Arial"/>
          <w:color w:val="2D3748"/>
          <w:sz w:val="21"/>
        </w:rPr>
        <w:t>To resolve this fundamental dichotomy, our platform couples a **Deterministic Static AST &amp; Regular Expression Engine** (providing precise forensic attribution) with a **19-Dimensional Statistical Machine Learning Classifier** (providing probabilistic risk estimation based on empirical token distributions). The entire architecture is divided into five loosely-coupled subsystems, adhering to SOLID principles and separation of concerns.</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left w:val="single" w:sz="24" w:space="0" w:color="2B6CB0"/>
              <w:bottom w:val="none"/>
              <w:right w:val="none"/>
            </w:tcBorders>
          </w:tcPr>
          <w:p>
            <w:pPr>
              <w:spacing w:before="40" w:after="40" w:line="276" w:lineRule="auto"/>
            </w:pPr>
            <w:r>
              <w:rPr>
                <w:rFonts w:ascii="Arial" w:hAnsi="Arial"/>
                <w:b/>
                <w:color w:val="1A365D"/>
                <w:sz w:val="21"/>
              </w:rPr>
              <w:t>📌 Core Forensic Architecture Axiom</w:t>
              <w:br/>
            </w:r>
            <w:r>
              <w:rPr>
                <w:rFonts w:ascii="Arial" w:hAnsi="Arial"/>
                <w:i/>
                <w:color w:val="2D3748"/>
                <w:sz w:val="20"/>
              </w:rPr>
              <w:t>Architecture Principle: 'Never execute untrusted bytecode locally; always corroborate deterministic syntax with statistical benchmarks; and never allow positive mitigating indicators to override proven critical honeypot backdoors.'</w:t>
            </w:r>
          </w:p>
        </w:tc>
      </w:tr>
    </w:tbl>
    <w:p>
      <w:pPr>
        <w:spacing w:before="0" w:after="80"/>
      </w:pPr>
    </w:p>
    <w:p>
      <w:pPr>
        <w:pStyle w:val="Heading2"/>
        <w:keepNext/>
        <w:spacing w:before="280" w:after="120"/>
      </w:pPr>
      <w:r>
        <w:rPr>
          <w:rFonts w:ascii="Arial" w:hAnsi="Arial"/>
          <w:b/>
          <w:color w:val="2B6CB0"/>
          <w:sz w:val="27"/>
        </w:rPr>
        <w:t>2.2 High-Level Architecture Decomposition</w:t>
      </w:r>
    </w:p>
    <w:p>
      <w:pPr>
        <w:spacing w:before="0" w:after="120" w:line="288" w:lineRule="auto"/>
      </w:pPr>
      <w:r>
        <w:rPr>
          <w:rFonts w:ascii="Arial" w:hAnsi="Arial"/>
          <w:color w:val="2D3748"/>
          <w:sz w:val="21"/>
        </w:rPr>
        <w:t>The high-level dataflow and subsystem boundaries are structured into five consecutive processing stages: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016"/>
            <w:shd w:fill="1A365D"/>
            <w:tcMar>
              <w:top w:w="120" w:type="dxa"/>
              <w:bottom w:w="120" w:type="dxa"/>
              <w:left w:w="140" w:type="dxa"/>
              <w:right w:w="140" w:type="dxa"/>
            </w:tcMar>
          </w:tcPr>
          <w:p>
            <w:pPr>
              <w:jc w:val="center"/>
            </w:pPr>
            <w:r>
              <w:rPr>
                <w:rFonts w:ascii="Arial" w:hAnsi="Arial"/>
                <w:b/>
                <w:color w:val="FFFFFF"/>
                <w:sz w:val="19"/>
              </w:rPr>
              <w:t>Subsystem Layer</w:t>
            </w:r>
          </w:p>
        </w:tc>
        <w:tc>
          <w:tcPr>
            <w:tcW w:type="dxa" w:w="3312"/>
            <w:shd w:fill="1A365D"/>
            <w:tcMar>
              <w:top w:w="120" w:type="dxa"/>
              <w:bottom w:w="120" w:type="dxa"/>
              <w:left w:w="140" w:type="dxa"/>
              <w:right w:w="140" w:type="dxa"/>
            </w:tcMar>
          </w:tcPr>
          <w:p>
            <w:pPr>
              <w:jc w:val="center"/>
            </w:pPr>
            <w:r>
              <w:rPr>
                <w:rFonts w:ascii="Arial" w:hAnsi="Arial"/>
                <w:b/>
                <w:color w:val="FFFFFF"/>
                <w:sz w:val="19"/>
              </w:rPr>
              <w:t>Underlying Modules</w:t>
            </w:r>
          </w:p>
        </w:tc>
        <w:tc>
          <w:tcPr>
            <w:tcW w:type="dxa" w:w="4032"/>
            <w:shd w:fill="1A365D"/>
            <w:tcMar>
              <w:top w:w="120" w:type="dxa"/>
              <w:bottom w:w="120" w:type="dxa"/>
              <w:left w:w="140" w:type="dxa"/>
              <w:right w:w="140" w:type="dxa"/>
            </w:tcMar>
          </w:tcPr>
          <w:p>
            <w:pPr>
              <w:jc w:val="center"/>
            </w:pPr>
            <w:r>
              <w:rPr>
                <w:rFonts w:ascii="Arial" w:hAnsi="Arial"/>
                <w:b/>
                <w:color w:val="FFFFFF"/>
                <w:sz w:val="19"/>
              </w:rPr>
              <w:t>Architectural Responsibilities</w:t>
            </w:r>
          </w:p>
        </w:tc>
      </w:tr>
      <w:tr>
        <w:trPr>
          <w:cantSplit/>
        </w:trPr>
        <w:tc>
          <w:tcPr>
            <w:tcW w:type="dxa" w:w="2016"/>
            <w:shd w:fill="FFFFFF"/>
            <w:tcMar>
              <w:top w:w="100" w:type="dxa"/>
              <w:bottom w:w="100" w:type="dxa"/>
              <w:left w:w="140" w:type="dxa"/>
              <w:right w:w="140" w:type="dxa"/>
            </w:tcMar>
          </w:tcPr>
          <w:p>
            <w:pPr>
              <w:jc w:val="left"/>
            </w:pPr>
            <w:r>
              <w:rPr>
                <w:rFonts w:ascii="Arial" w:hAnsi="Arial"/>
                <w:color w:val="2D3748"/>
                <w:sz w:val="18"/>
              </w:rPr>
              <w:t>1. Ingestion Layer</w:t>
            </w:r>
          </w:p>
        </w:tc>
        <w:tc>
          <w:tcPr>
            <w:tcW w:type="dxa" w:w="3312"/>
            <w:shd w:fill="FFFFFF"/>
            <w:tcMar>
              <w:top w:w="100" w:type="dxa"/>
              <w:bottom w:w="100" w:type="dxa"/>
              <w:left w:w="140" w:type="dxa"/>
              <w:right w:w="140" w:type="dxa"/>
            </w:tcMar>
          </w:tcPr>
          <w:p>
            <w:pPr>
              <w:jc w:val="left"/>
            </w:pPr>
            <w:r>
              <w:rPr>
                <w:rFonts w:ascii="Arial" w:hAnsi="Arial"/>
                <w:color w:val="2D3748"/>
                <w:sz w:val="18"/>
              </w:rPr>
              <w:t>ContractLoader, BlockchainClient, ExplorerClient</w:t>
            </w:r>
          </w:p>
        </w:tc>
        <w:tc>
          <w:tcPr>
            <w:tcW w:type="dxa" w:w="4032"/>
            <w:shd w:fill="FFFFFF"/>
            <w:tcMar>
              <w:top w:w="100" w:type="dxa"/>
              <w:bottom w:w="100" w:type="dxa"/>
              <w:left w:w="140" w:type="dxa"/>
              <w:right w:w="140" w:type="dxa"/>
            </w:tcMar>
          </w:tcPr>
          <w:p>
            <w:pPr>
              <w:jc w:val="left"/>
            </w:pPr>
            <w:r>
              <w:rPr>
                <w:rFonts w:ascii="Arial" w:hAnsi="Arial"/>
                <w:color w:val="2D3748"/>
                <w:sz w:val="18"/>
              </w:rPr>
              <w:t>Ingests .sol files, raw code, bytecode, or 0x addresses. Queries multi-chain RPCs and block explorers.</w:t>
            </w:r>
          </w:p>
        </w:tc>
      </w:tr>
      <w:tr>
        <w:trPr>
          <w:cantSplit/>
        </w:trPr>
        <w:tc>
          <w:tcPr>
            <w:tcW w:type="dxa" w:w="2016"/>
            <w:shd w:fill="F7FAFC"/>
            <w:tcMar>
              <w:top w:w="100" w:type="dxa"/>
              <w:bottom w:w="100" w:type="dxa"/>
              <w:left w:w="140" w:type="dxa"/>
              <w:right w:w="140" w:type="dxa"/>
            </w:tcMar>
          </w:tcPr>
          <w:p>
            <w:pPr>
              <w:jc w:val="left"/>
            </w:pPr>
            <w:r>
              <w:rPr>
                <w:rFonts w:ascii="Arial" w:hAnsi="Arial"/>
                <w:color w:val="2D3748"/>
                <w:sz w:val="18"/>
              </w:rPr>
              <w:t>2. Dual-Engine Core</w:t>
            </w:r>
          </w:p>
        </w:tc>
        <w:tc>
          <w:tcPr>
            <w:tcW w:type="dxa" w:w="3312"/>
            <w:shd w:fill="F7FAFC"/>
            <w:tcMar>
              <w:top w:w="100" w:type="dxa"/>
              <w:bottom w:w="100" w:type="dxa"/>
              <w:left w:w="140" w:type="dxa"/>
              <w:right w:w="140" w:type="dxa"/>
            </w:tcMar>
          </w:tcPr>
          <w:p>
            <w:pPr>
              <w:jc w:val="left"/>
            </w:pPr>
            <w:r>
              <w:rPr>
                <w:rFonts w:ascii="Arial" w:hAnsi="Arial"/>
                <w:color w:val="2D3748"/>
                <w:sz w:val="18"/>
              </w:rPr>
              <w:t>SourceAnalyzer, 10 BaseRules, FeatureExtractor, MLDetector</w:t>
            </w:r>
          </w:p>
        </w:tc>
        <w:tc>
          <w:tcPr>
            <w:tcW w:type="dxa" w:w="4032"/>
            <w:shd w:fill="F7FAFC"/>
            <w:tcMar>
              <w:top w:w="100" w:type="dxa"/>
              <w:bottom w:w="100" w:type="dxa"/>
              <w:left w:w="140" w:type="dxa"/>
              <w:right w:w="140" w:type="dxa"/>
            </w:tcMar>
          </w:tcPr>
          <w:p>
            <w:pPr>
              <w:jc w:val="left"/>
            </w:pPr>
            <w:r>
              <w:rPr>
                <w:rFonts w:ascii="Arial" w:hAnsi="Arial"/>
                <w:color w:val="2D3748"/>
                <w:sz w:val="18"/>
              </w:rPr>
              <w:t>Performs comment-stripped AST parsing, executes 10 honeypot rules, checks positive indicators, and computes ML predictions.</w:t>
            </w:r>
          </w:p>
        </w:tc>
      </w:tr>
      <w:tr>
        <w:trPr>
          <w:cantSplit/>
        </w:trPr>
        <w:tc>
          <w:tcPr>
            <w:tcW w:type="dxa" w:w="2016"/>
            <w:shd w:fill="FFFFFF"/>
            <w:tcMar>
              <w:top w:w="100" w:type="dxa"/>
              <w:bottom w:w="100" w:type="dxa"/>
              <w:left w:w="140" w:type="dxa"/>
              <w:right w:w="140" w:type="dxa"/>
            </w:tcMar>
          </w:tcPr>
          <w:p>
            <w:pPr>
              <w:jc w:val="left"/>
            </w:pPr>
            <w:r>
              <w:rPr>
                <w:rFonts w:ascii="Arial" w:hAnsi="Arial"/>
                <w:color w:val="2D3748"/>
                <w:sz w:val="18"/>
              </w:rPr>
              <w:t>3. Scoring &amp; Simulation</w:t>
            </w:r>
          </w:p>
        </w:tc>
        <w:tc>
          <w:tcPr>
            <w:tcW w:type="dxa" w:w="3312"/>
            <w:shd w:fill="FFFFFF"/>
            <w:tcMar>
              <w:top w:w="100" w:type="dxa"/>
              <w:bottom w:w="100" w:type="dxa"/>
              <w:left w:w="140" w:type="dxa"/>
              <w:right w:w="140" w:type="dxa"/>
            </w:tcMar>
          </w:tcPr>
          <w:p>
            <w:pPr>
              <w:jc w:val="left"/>
            </w:pPr>
            <w:r>
              <w:rPr>
                <w:rFonts w:ascii="Arial" w:hAnsi="Arial"/>
                <w:color w:val="2D3748"/>
                <w:sz w:val="18"/>
              </w:rPr>
              <w:t>RiskScorer, SimulationAdapter</w:t>
            </w:r>
          </w:p>
        </w:tc>
        <w:tc>
          <w:tcPr>
            <w:tcW w:type="dxa" w:w="4032"/>
            <w:shd w:fill="FFFFFF"/>
            <w:tcMar>
              <w:top w:w="100" w:type="dxa"/>
              <w:bottom w:w="100" w:type="dxa"/>
              <w:left w:w="140" w:type="dxa"/>
              <w:right w:w="140" w:type="dxa"/>
            </w:tcMar>
          </w:tcPr>
          <w:p>
            <w:pPr>
              <w:jc w:val="left"/>
            </w:pPr>
            <w:r>
              <w:rPr>
                <w:rFonts w:ascii="Arial" w:hAnsi="Arial"/>
                <w:color w:val="2D3748"/>
                <w:sz w:val="18"/>
              </w:rPr>
              <w:t>Synthesizes static findings into a 0-100 risk score with critical floor guardrails; interfaces with external trade simulators.</w:t>
            </w:r>
          </w:p>
        </w:tc>
      </w:tr>
      <w:tr>
        <w:trPr>
          <w:cantSplit/>
        </w:trPr>
        <w:tc>
          <w:tcPr>
            <w:tcW w:type="dxa" w:w="2016"/>
            <w:shd w:fill="F7FAFC"/>
            <w:tcMar>
              <w:top w:w="100" w:type="dxa"/>
              <w:bottom w:w="100" w:type="dxa"/>
              <w:left w:w="140" w:type="dxa"/>
              <w:right w:w="140" w:type="dxa"/>
            </w:tcMar>
          </w:tcPr>
          <w:p>
            <w:pPr>
              <w:jc w:val="left"/>
            </w:pPr>
            <w:r>
              <w:rPr>
                <w:rFonts w:ascii="Arial" w:hAnsi="Arial"/>
                <w:color w:val="2D3748"/>
                <w:sz w:val="18"/>
              </w:rPr>
              <w:t>4. Reporting Layer</w:t>
            </w:r>
          </w:p>
        </w:tc>
        <w:tc>
          <w:tcPr>
            <w:tcW w:type="dxa" w:w="3312"/>
            <w:shd w:fill="F7FAFC"/>
            <w:tcMar>
              <w:top w:w="100" w:type="dxa"/>
              <w:bottom w:w="100" w:type="dxa"/>
              <w:left w:w="140" w:type="dxa"/>
              <w:right w:w="140" w:type="dxa"/>
            </w:tcMar>
          </w:tcPr>
          <w:p>
            <w:pPr>
              <w:jc w:val="left"/>
            </w:pPr>
            <w:r>
              <w:rPr>
                <w:rFonts w:ascii="Arial" w:hAnsi="Arial"/>
                <w:color w:val="2D3748"/>
                <w:sz w:val="18"/>
              </w:rPr>
              <w:t>ReportGenerator</w:t>
            </w:r>
          </w:p>
        </w:tc>
        <w:tc>
          <w:tcPr>
            <w:tcW w:type="dxa" w:w="4032"/>
            <w:shd w:fill="F7FAFC"/>
            <w:tcMar>
              <w:top w:w="100" w:type="dxa"/>
              <w:bottom w:w="100" w:type="dxa"/>
              <w:left w:w="140" w:type="dxa"/>
              <w:right w:w="140" w:type="dxa"/>
            </w:tcMar>
          </w:tcPr>
          <w:p>
            <w:pPr>
              <w:jc w:val="left"/>
            </w:pPr>
            <w:r>
              <w:rPr>
                <w:rFonts w:ascii="Arial" w:hAnsi="Arial"/>
                <w:color w:val="2D3748"/>
                <w:sz w:val="18"/>
              </w:rPr>
              <w:t>Serializes CompleteAuditReport models into JSON, CSV tabular finding exports, and Markdown summaries.</w:t>
            </w:r>
          </w:p>
        </w:tc>
      </w:tr>
      <w:tr>
        <w:trPr>
          <w:cantSplit/>
        </w:trPr>
        <w:tc>
          <w:tcPr>
            <w:tcW w:type="dxa" w:w="2016"/>
            <w:shd w:fill="FFFFFF"/>
            <w:tcMar>
              <w:top w:w="100" w:type="dxa"/>
              <w:bottom w:w="100" w:type="dxa"/>
              <w:left w:w="140" w:type="dxa"/>
              <w:right w:w="140" w:type="dxa"/>
            </w:tcMar>
          </w:tcPr>
          <w:p>
            <w:pPr>
              <w:jc w:val="left"/>
            </w:pPr>
            <w:r>
              <w:rPr>
                <w:rFonts w:ascii="Arial" w:hAnsi="Arial"/>
                <w:color w:val="2D3748"/>
                <w:sz w:val="18"/>
              </w:rPr>
              <w:t>5. Presentation Layer</w:t>
            </w:r>
          </w:p>
        </w:tc>
        <w:tc>
          <w:tcPr>
            <w:tcW w:type="dxa" w:w="3312"/>
            <w:shd w:fill="FFFFFF"/>
            <w:tcMar>
              <w:top w:w="100" w:type="dxa"/>
              <w:bottom w:w="100" w:type="dxa"/>
              <w:left w:w="140" w:type="dxa"/>
              <w:right w:w="140" w:type="dxa"/>
            </w:tcMar>
          </w:tcPr>
          <w:p>
            <w:pPr>
              <w:jc w:val="left"/>
            </w:pPr>
            <w:r>
              <w:rPr>
                <w:rFonts w:ascii="Arial" w:hAnsi="Arial"/>
                <w:color w:val="2D3748"/>
                <w:sz w:val="18"/>
              </w:rPr>
              <w:t>CLI Runner (main.py), Express REST API, React SPA Dashboard</w:t>
            </w:r>
          </w:p>
        </w:tc>
        <w:tc>
          <w:tcPr>
            <w:tcW w:type="dxa" w:w="4032"/>
            <w:shd w:fill="FFFFFF"/>
            <w:tcMar>
              <w:top w:w="100" w:type="dxa"/>
              <w:bottom w:w="100" w:type="dxa"/>
              <w:left w:w="140" w:type="dxa"/>
              <w:right w:w="140" w:type="dxa"/>
            </w:tcMar>
          </w:tcPr>
          <w:p>
            <w:pPr>
              <w:jc w:val="left"/>
            </w:pPr>
            <w:r>
              <w:rPr>
                <w:rFonts w:ascii="Arial" w:hAnsi="Arial"/>
                <w:color w:val="2D3748"/>
                <w:sz w:val="18"/>
              </w:rPr>
              <w:t>Provides developer CLI workflows and an interactive MERN stack web interface with persistent MongoDB audit history.</w:t>
            </w:r>
          </w:p>
        </w:tc>
      </w:tr>
    </w:tbl>
    <w:p>
      <w:pPr>
        <w:pStyle w:val="Heading2"/>
        <w:keepNext/>
        <w:spacing w:before="280" w:after="120"/>
      </w:pPr>
      <w:r>
        <w:rPr>
          <w:rFonts w:ascii="Arial" w:hAnsi="Arial"/>
          <w:b/>
          <w:color w:val="2B6CB0"/>
          <w:sz w:val="27"/>
        </w:rPr>
        <w:t>2.3 Detailed Component &amp; Subsystem Design</w:t>
      </w:r>
    </w:p>
    <w:p>
      <w:pPr>
        <w:pStyle w:val="Heading3"/>
        <w:keepNext/>
        <w:spacing w:before="200" w:after="80"/>
      </w:pPr>
      <w:r>
        <w:rPr>
          <w:rFonts w:ascii="Arial" w:hAnsi="Arial"/>
          <w:b/>
          <w:color w:val="319795"/>
          <w:sz w:val="23"/>
        </w:rPr>
        <w:t>2.3.1 Multi-Modal Ingestion Subsystem</w:t>
      </w:r>
    </w:p>
    <w:p>
      <w:pPr>
        <w:spacing w:before="0" w:after="120" w:line="288" w:lineRule="auto"/>
      </w:pPr>
      <w:r>
        <w:rPr>
          <w:rFonts w:ascii="Arial" w:hAnsi="Arial"/>
          <w:color w:val="2D3748"/>
          <w:sz w:val="21"/>
        </w:rPr>
        <w:t>Implemented in `src/contract_loader.py`, `src/blockchain_client.py`, and `src/explorer_client.py`. The central `ContractLoader` orchestrates heuristic routing via `load_auto()`: (1) Local files ending in `.sol` are ingested using UTF-8 safe readers, extracting compiler pragmas and primary contract names. (2) Direct Solidity source strings are validated and normalized. (3) Valid 42-character hexadecimal EVM addresses (`^0x[a-fA-F0-9]{40}$`) are routed to `ExplorerClient` to fetch verified source code. If unverified, the loader falls back to `BlockchainClient` using Web3.py to retrieve runtime bytecode across Ethereum Mainnet, BNB Smart Chain, Polygon, Arbitrum One, and Sepolia Testnet. (4) Raw bytecode strings are verified and stored for opcode analysis.</w:t>
      </w:r>
    </w:p>
    <w:p>
      <w:pPr>
        <w:pStyle w:val="Heading3"/>
        <w:keepNext/>
        <w:spacing w:before="200" w:after="80"/>
      </w:pPr>
      <w:r>
        <w:rPr>
          <w:rFonts w:ascii="Arial" w:hAnsi="Arial"/>
          <w:b/>
          <w:color w:val="319795"/>
          <w:sz w:val="23"/>
        </w:rPr>
        <w:t>2.3.2 Static Source Analysis Subsystem</w:t>
      </w:r>
    </w:p>
    <w:p>
      <w:pPr>
        <w:spacing w:before="0" w:after="120" w:line="288" w:lineRule="auto"/>
      </w:pPr>
      <w:r>
        <w:rPr>
          <w:rFonts w:ascii="Arial" w:hAnsi="Arial"/>
          <w:color w:val="2D3748"/>
          <w:sz w:val="21"/>
        </w:rPr>
        <w:t>Implemented in `src/source_analyzer.py` and `src/detection_rules.py`. The `SourceAnalyzer` strips single-line (`//`) and multi-line (`/* ... */`) comments while replacing stripped characters with equivalent whitespace, guaranteeing that line indices in `clean_source` align perfectly with `raw_source`. It parses compiler pragma specifications, extracts single and multiple inheritance trees (identifying the top-level deployable ERC-20 token contract), identifies all state variables, extracts function signatures with visibility modifiers, and computes clean non-comment lines of code (LOC).</w:t>
      </w:r>
    </w:p>
    <w:p>
      <w:pPr>
        <w:pStyle w:val="Heading3"/>
        <w:keepNext/>
        <w:spacing w:before="200" w:after="80"/>
      </w:pPr>
      <w:r>
        <w:rPr>
          <w:rFonts w:ascii="Arial" w:hAnsi="Arial"/>
          <w:b/>
          <w:color w:val="319795"/>
          <w:sz w:val="23"/>
        </w:rPr>
        <w:t>2.3.3 Modular Detection Rule Engine</w:t>
      </w:r>
    </w:p>
    <w:p>
      <w:pPr>
        <w:spacing w:before="0" w:after="120" w:line="288" w:lineRule="auto"/>
      </w:pPr>
      <w:r>
        <w:rPr>
          <w:rFonts w:ascii="Arial" w:hAnsi="Arial"/>
          <w:color w:val="2D3748"/>
          <w:sz w:val="21"/>
        </w:rPr>
        <w:t>All detection rules inherit from the abstract `BaseRule` class, enforcing an `evaluate(clean_source, raw_source) -&gt; List[Finding]` contract. The engine executes 10 independent honeypot detection rules and 4 positive security indicator checks. Findings capture rule ID, category, severity (`CRITICAL`, `HIGH`, `MEDIUM`, `LOW`), confidence (`HIGH`, `MEDIUM`, `LOW`), source line number, raw code evidence snippet, detailed forensic explanation, and recommended manual verification steps.</w:t>
      </w:r>
    </w:p>
    <w:p>
      <w:pPr>
        <w:pStyle w:val="Heading3"/>
        <w:keepNext/>
        <w:spacing w:before="200" w:after="80"/>
      </w:pPr>
      <w:r>
        <w:rPr>
          <w:rFonts w:ascii="Arial" w:hAnsi="Arial"/>
          <w:b/>
          <w:color w:val="319795"/>
          <w:sz w:val="23"/>
        </w:rPr>
        <w:t>2.3.4 Machine Learning Inference Subsystem</w:t>
      </w:r>
    </w:p>
    <w:p>
      <w:pPr>
        <w:spacing w:before="0" w:after="120" w:line="288" w:lineRule="auto"/>
      </w:pPr>
      <w:r>
        <w:rPr>
          <w:rFonts w:ascii="Arial" w:hAnsi="Arial"/>
          <w:color w:val="2D3748"/>
          <w:sz w:val="21"/>
        </w:rPr>
        <w:t>Implemented in `src/feature_extractor.py` and `src/ml_detector.py`. The `FeatureExtractor` transforms parsed contracts into an ordered 19-dimensional numeric vector. The `MLDetector` loads serialized pre-trained artifacts (`scaler.joblib`, `random_forest_model.joblib`, `logistic_regression_model.joblib`). It scales the vector, computes classification probabilities, and calculates feature importance drivers that explain which contract traits contributed most heavily to the classification verdict.</w:t>
      </w:r>
    </w:p>
    <w:p>
      <w:pPr>
        <w:pStyle w:val="Heading3"/>
        <w:keepNext/>
        <w:spacing w:before="200" w:after="80"/>
      </w:pPr>
      <w:r>
        <w:rPr>
          <w:rFonts w:ascii="Arial" w:hAnsi="Arial"/>
          <w:b/>
          <w:color w:val="319795"/>
          <w:sz w:val="23"/>
        </w:rPr>
        <w:t>2.3.5 Risk Scoring Subsystem</w:t>
      </w:r>
    </w:p>
    <w:p>
      <w:pPr>
        <w:spacing w:before="0" w:after="120" w:line="288" w:lineRule="auto"/>
      </w:pPr>
      <w:r>
        <w:rPr>
          <w:rFonts w:ascii="Arial" w:hAnsi="Arial"/>
          <w:color w:val="2D3748"/>
          <w:sz w:val="21"/>
        </w:rPr>
        <w:t>Implemented in `src/risk_scorer.py`. Computes an explainable 0-100 risk score by summing severity weights, subtracting positive indicator credits (max 15 points), and enforcing a strict security floor: if any finding has `CRITICAL` severity, the final score is guaranteed to remain $\ge 50$ (`HIGH` or `CRITICAL` risk), preventing dangerous honeypots from masking behind cosmetic OpenZeppelin imports or ownership renunciation.</w:t>
      </w:r>
    </w:p>
    <w:p>
      <w:pPr>
        <w:pStyle w:val="Heading2"/>
        <w:keepNext/>
        <w:spacing w:before="280" w:after="120"/>
      </w:pPr>
      <w:r>
        <w:rPr>
          <w:rFonts w:ascii="Arial" w:hAnsi="Arial"/>
          <w:b/>
          <w:color w:val="2B6CB0"/>
          <w:sz w:val="27"/>
        </w:rPr>
        <w:t>2.4 Core Data Models &amp; Object Schemas</w:t>
      </w:r>
    </w:p>
    <w:p>
      <w:pPr>
        <w:spacing w:before="0" w:after="120" w:line="288" w:lineRule="auto"/>
      </w:pPr>
      <w:r>
        <w:rPr>
          <w:rFonts w:ascii="Arial" w:hAnsi="Arial"/>
          <w:color w:val="2D3748"/>
          <w:sz w:val="21"/>
        </w:rPr>
        <w:t>The system relies on strongly typed dataclasses and schemas to ensure data integrity across all pipeline stages:</w:t>
      </w:r>
    </w:p>
    <w:p>
      <w:pPr>
        <w:pStyle w:val="ListBullet"/>
        <w:spacing w:before="0" w:after="60" w:line="276" w:lineRule="auto"/>
      </w:pPr>
      <w:r>
        <w:rPr>
          <w:rFonts w:ascii="Arial" w:hAnsi="Arial"/>
          <w:b/>
          <w:color w:val="1A365D"/>
          <w:sz w:val="20"/>
        </w:rPr>
        <w:t xml:space="preserve">LoadedContract: </w:t>
      </w:r>
      <w:r>
        <w:rPr>
          <w:rFonts w:ascii="Arial" w:hAnsi="Arial"/>
          <w:color w:val="2D3748"/>
          <w:sz w:val="20"/>
        </w:rPr>
        <w:t>Encapsulates contract name, source code, bytecode, network, on-chain address, compiler version, ABI, and extraction metadata.</w:t>
      </w:r>
    </w:p>
    <w:p>
      <w:pPr>
        <w:pStyle w:val="ListBullet"/>
        <w:spacing w:before="0" w:after="60" w:line="276" w:lineRule="auto"/>
      </w:pPr>
      <w:r>
        <w:rPr>
          <w:rFonts w:ascii="Arial" w:hAnsi="Arial"/>
          <w:b/>
          <w:color w:val="1A365D"/>
          <w:sz w:val="20"/>
        </w:rPr>
        <w:t xml:space="preserve">Finding: </w:t>
      </w:r>
      <w:r>
        <w:rPr>
          <w:rFonts w:ascii="Arial" w:hAnsi="Arial"/>
          <w:color w:val="2D3748"/>
          <w:sz w:val="20"/>
        </w:rPr>
        <w:t>Represents an identified security vulnerability, storing rule_id, rule_name, category, severity, confidence, line_number, evidence, explanation, and suggested_verification.</w:t>
      </w:r>
    </w:p>
    <w:p>
      <w:pPr>
        <w:pStyle w:val="ListBullet"/>
        <w:spacing w:before="0" w:after="60" w:line="276" w:lineRule="auto"/>
      </w:pPr>
      <w:r>
        <w:rPr>
          <w:rFonts w:ascii="Arial" w:hAnsi="Arial"/>
          <w:b/>
          <w:color w:val="1A365D"/>
          <w:sz w:val="20"/>
        </w:rPr>
        <w:t xml:space="preserve">PositiveIndicator: </w:t>
      </w:r>
      <w:r>
        <w:rPr>
          <w:rFonts w:ascii="Arial" w:hAnsi="Arial"/>
          <w:color w:val="2D3748"/>
          <w:sz w:val="20"/>
        </w:rPr>
        <w:t>Represents a safety-enhancing characteristic, storing indicator_id, name, evidence, and forensic explanation.</w:t>
      </w:r>
    </w:p>
    <w:p>
      <w:pPr>
        <w:pStyle w:val="ListBullet"/>
        <w:spacing w:before="0" w:after="60" w:line="276" w:lineRule="auto"/>
      </w:pPr>
      <w:r>
        <w:rPr>
          <w:rFonts w:ascii="Arial" w:hAnsi="Arial"/>
          <w:b/>
          <w:color w:val="1A365D"/>
          <w:sz w:val="20"/>
        </w:rPr>
        <w:t xml:space="preserve">RiskReport: </w:t>
      </w:r>
      <w:r>
        <w:rPr>
          <w:rFonts w:ascii="Arial" w:hAnsi="Arial"/>
          <w:color w:val="2D3748"/>
          <w:sz w:val="20"/>
        </w:rPr>
        <w:t>Stores gross_score, positive_deductions, net_score, counts of findings by severity, risk level, confidence, primary risk factors, mitigating factors, and manual verification checklists.</w:t>
      </w:r>
    </w:p>
    <w:p>
      <w:pPr>
        <w:pStyle w:val="ListBullet"/>
        <w:spacing w:before="0" w:after="60" w:line="276" w:lineRule="auto"/>
      </w:pPr>
      <w:r>
        <w:rPr>
          <w:rFonts w:ascii="Arial" w:hAnsi="Arial"/>
          <w:b/>
          <w:color w:val="1A365D"/>
          <w:sz w:val="20"/>
        </w:rPr>
        <w:t xml:space="preserve">CompleteAuditReport: </w:t>
      </w:r>
      <w:r>
        <w:rPr>
          <w:rFonts w:ascii="Arial" w:hAnsi="Arial"/>
          <w:color w:val="2D3748"/>
          <w:sz w:val="20"/>
        </w:rPr>
        <w:t>Top-level model aggregating contract metadata, structural analysis, findings, positive indicators, risk report, ML prediction, simulation results, and timestamp.</w:t>
      </w:r>
    </w:p>
    <w:p>
      <w:pPr>
        <w:pStyle w:val="ListBullet"/>
        <w:spacing w:before="0" w:after="60" w:line="276" w:lineRule="auto"/>
      </w:pPr>
      <w:r>
        <w:rPr>
          <w:rFonts w:ascii="Arial" w:hAnsi="Arial"/>
          <w:b/>
          <w:color w:val="1A365D"/>
          <w:sz w:val="20"/>
        </w:rPr>
        <w:t xml:space="preserve">AuditReport (MongoDB): </w:t>
      </w:r>
      <w:r>
        <w:rPr>
          <w:rFonts w:ascii="Arial" w:hAnsi="Arial"/>
          <w:color w:val="2D3748"/>
          <w:sz w:val="20"/>
        </w:rPr>
        <w:t>Mongoose schema in server/models/AuditReport.js storing audit history, network, contract address, risk score, risk level, findings, and JSON payload in MongoDB.</w:t>
      </w:r>
    </w:p>
    <w:p>
      <w:pPr>
        <w:pStyle w:val="Heading2"/>
        <w:keepNext/>
        <w:spacing w:before="280" w:after="120"/>
      </w:pPr>
      <w:r>
        <w:rPr>
          <w:rFonts w:ascii="Arial" w:hAnsi="Arial"/>
          <w:b/>
          <w:color w:val="2B6CB0"/>
          <w:sz w:val="27"/>
        </w:rPr>
        <w:t>2.5 End-to-End Sequence &amp; Interaction Flow</w:t>
      </w:r>
    </w:p>
    <w:p>
      <w:pPr>
        <w:spacing w:before="0" w:after="120" w:line="288" w:lineRule="auto"/>
      </w:pPr>
      <w:r>
        <w:rPr>
          <w:rFonts w:ascii="Arial" w:hAnsi="Arial"/>
          <w:color w:val="2D3748"/>
          <w:sz w:val="21"/>
        </w:rPr>
        <w:t>The operational lifecycle of a contract audit proceeds through the following chronological sequence:</w:t>
      </w:r>
    </w:p>
    <w:p>
      <w:pPr>
        <w:pStyle w:val="ListBullet"/>
        <w:spacing w:before="0" w:after="60" w:line="276" w:lineRule="auto"/>
      </w:pPr>
      <w:r>
        <w:rPr>
          <w:rFonts w:ascii="Arial" w:hAnsi="Arial"/>
          <w:b/>
          <w:color w:val="1A365D"/>
          <w:sz w:val="20"/>
        </w:rPr>
        <w:t xml:space="preserve">1. Request Dispatch: </w:t>
      </w:r>
      <w:r>
        <w:rPr>
          <w:rFonts w:ascii="Arial" w:hAnsi="Arial"/>
          <w:color w:val="2D3748"/>
          <w:sz w:val="20"/>
        </w:rPr>
        <w:t>User supplies input via CLI arguments (--file, --address) or the React Web UI. React issues an HTTP POST to /api/analyze.</w:t>
      </w:r>
    </w:p>
    <w:p>
      <w:pPr>
        <w:pStyle w:val="ListBullet"/>
        <w:spacing w:before="0" w:after="60" w:line="276" w:lineRule="auto"/>
      </w:pPr>
      <w:r>
        <w:rPr>
          <w:rFonts w:ascii="Arial" w:hAnsi="Arial"/>
          <w:b/>
          <w:color w:val="1A365D"/>
          <w:sz w:val="20"/>
        </w:rPr>
        <w:t xml:space="preserve">2. Ingestion &amp; Retrieval: </w:t>
      </w:r>
      <w:r>
        <w:rPr>
          <w:rFonts w:ascii="Arial" w:hAnsi="Arial"/>
          <w:color w:val="2D3748"/>
          <w:sz w:val="20"/>
        </w:rPr>
        <w:t>ContractLoader identifies input type, invokes Etherscan or Web3 RPC if necessary, and returns a unified LoadedContract.</w:t>
      </w:r>
    </w:p>
    <w:p>
      <w:pPr>
        <w:pStyle w:val="ListBullet"/>
        <w:spacing w:before="0" w:after="60" w:line="276" w:lineRule="auto"/>
      </w:pPr>
      <w:r>
        <w:rPr>
          <w:rFonts w:ascii="Arial" w:hAnsi="Arial"/>
          <w:b/>
          <w:color w:val="1A365D"/>
          <w:sz w:val="20"/>
        </w:rPr>
        <w:t xml:space="preserve">3. Static Analysis: </w:t>
      </w:r>
      <w:r>
        <w:rPr>
          <w:rFonts w:ascii="Arial" w:hAnsi="Arial"/>
          <w:color w:val="2D3748"/>
          <w:sz w:val="20"/>
        </w:rPr>
        <w:t>SourceAnalyzer strips comments while preserving line indices, extracts AST metadata, and triggers all 10 BaseRules.</w:t>
      </w:r>
    </w:p>
    <w:p>
      <w:pPr>
        <w:pStyle w:val="ListBullet"/>
        <w:spacing w:before="0" w:after="60" w:line="276" w:lineRule="auto"/>
      </w:pPr>
      <w:r>
        <w:rPr>
          <w:rFonts w:ascii="Arial" w:hAnsi="Arial"/>
          <w:b/>
          <w:color w:val="1A365D"/>
          <w:sz w:val="20"/>
        </w:rPr>
        <w:t xml:space="preserve">4. Machine Learning Inference: </w:t>
      </w:r>
      <w:r>
        <w:rPr>
          <w:rFonts w:ascii="Arial" w:hAnsi="Arial"/>
          <w:color w:val="2D3748"/>
          <w:sz w:val="20"/>
        </w:rPr>
        <w:t>FeatureExtractor transforms AST metadata and findings into a 19-D vector. MLDetector predicts honeypot probability.</w:t>
      </w:r>
    </w:p>
    <w:p>
      <w:pPr>
        <w:pStyle w:val="ListBullet"/>
        <w:spacing w:before="0" w:after="60" w:line="276" w:lineRule="auto"/>
      </w:pPr>
      <w:r>
        <w:rPr>
          <w:rFonts w:ascii="Arial" w:hAnsi="Arial"/>
          <w:b/>
          <w:color w:val="1A365D"/>
          <w:sz w:val="20"/>
        </w:rPr>
        <w:t xml:space="preserve">5. Risk Synthesis: </w:t>
      </w:r>
      <w:r>
        <w:rPr>
          <w:rFonts w:ascii="Arial" w:hAnsi="Arial"/>
          <w:color w:val="2D3748"/>
          <w:sz w:val="20"/>
        </w:rPr>
        <w:t>RiskScorer computes normalized risk score (0-100), applies Critical Floor security clamping, and assigns risk level.</w:t>
      </w:r>
    </w:p>
    <w:p>
      <w:pPr>
        <w:pStyle w:val="ListBullet"/>
        <w:spacing w:before="0" w:after="60" w:line="276" w:lineRule="auto"/>
      </w:pPr>
      <w:r>
        <w:rPr>
          <w:rFonts w:ascii="Arial" w:hAnsi="Arial"/>
          <w:b/>
          <w:color w:val="1A365D"/>
          <w:sz w:val="20"/>
        </w:rPr>
        <w:t xml:space="preserve">6. Persistence &amp; Presentation: </w:t>
      </w:r>
      <w:r>
        <w:rPr>
          <w:rFonts w:ascii="Arial" w:hAnsi="Arial"/>
          <w:color w:val="2D3748"/>
          <w:sz w:val="20"/>
        </w:rPr>
        <w:t>ReportGenerator exports JSON, CSV, and Markdown. Express saves record in MongoDB and returns JSON payload to React UI.</w:t>
      </w:r>
    </w:p>
    <w:p>
      <w:r>
        <w:br w:type="page"/>
      </w:r>
    </w:p>
    <w:p>
      <w:pPr>
        <w:pStyle w:val="Heading1"/>
        <w:keepNext/>
        <w:spacing w:before="400" w:after="160"/>
      </w:pPr>
      <w:r>
        <w:rPr>
          <w:rFonts w:ascii="Arial" w:hAnsi="Arial"/>
          <w:b/>
          <w:color w:val="1A365D"/>
          <w:sz w:val="34"/>
        </w:rPr>
        <w:t>3.0 Algorithm of the Project</w:t>
      </w:r>
    </w:p>
    <w:p>
      <w:pPr>
        <w:pStyle w:val="Heading2"/>
        <w:keepNext/>
        <w:spacing w:before="280" w:after="120"/>
      </w:pPr>
      <w:r>
        <w:rPr>
          <w:rFonts w:ascii="Arial" w:hAnsi="Arial"/>
          <w:b/>
          <w:color w:val="2B6CB0"/>
          <w:sz w:val="27"/>
        </w:rPr>
        <w:t>3.1 Forensic Detection Algorithms (10 Honeypot Vectors)</w:t>
      </w:r>
    </w:p>
    <w:p>
      <w:pPr>
        <w:spacing w:before="0" w:after="120" w:line="288" w:lineRule="auto"/>
      </w:pPr>
      <w:r>
        <w:rPr>
          <w:rFonts w:ascii="Arial" w:hAnsi="Arial"/>
          <w:color w:val="2D3748"/>
          <w:sz w:val="21"/>
        </w:rPr>
        <w:t>The static analysis core implements 10 specialized detection algorithms, each formalizing the syntactic and semantic signatures of a recognized smart contract attack vector. Below are the formal algorithmic specifications:</w:t>
      </w:r>
    </w:p>
    <w:p>
      <w:pPr>
        <w:spacing w:before="0" w:after="120" w:line="288" w:lineRule="auto"/>
      </w:pPr>
      <w:r>
        <w:rPr>
          <w:rFonts w:ascii="Arial" w:hAnsi="Arial"/>
          <w:b/>
          <w:color w:val="1A365D"/>
          <w:sz w:val="21"/>
        </w:rPr>
        <w:t>1. Blacklist Logic Traps (HONEYPOT_BLACKLIST)</w:t>
        <w:br/>
      </w:r>
      <w:r>
        <w:rPr>
          <w:rFonts w:ascii="Arial" w:hAnsi="Arial"/>
          <w:color w:val="2D3748"/>
          <w:sz w:val="21"/>
        </w:rPr>
        <w:t>Severity: CRITICAL | Confidence: HIGH</w:t>
        <w:br/>
        <w:t>Mechanism: Contract maintains address mapping (mapping(address =&gt; bool) _isBlacklisted). When a user buys tokens on a DEX, the deployer immediately flags their wallet as blacklisted, preventing all subsequent transfer() or transferFrom() calls.</w:t>
        <w:br/>
        <w:t>Algorithm:</w:t>
        <w:br/>
        <w:t xml:space="preserve">  1. Scan clean_source lines for mapping declarations matching: mapping\s*\(\s*address\s*=&gt;\s*bool\s*\)\s*.*(blacklist|isBlacklisted|isBot|blocked)</w:t>
        <w:br/>
        <w:t xml:space="preserve">  2. Check transfer execution paths for conditional reverts: require(!isBlacklisted[sender]) or if(isBlacklisted[from]) revert()</w:t>
        <w:br/>
        <w:t xml:space="preserve">  3. Check custom modifiers: modifier (notBlacklisted|onlyNonBlacklisted|checkBlacklist)</w:t>
        <w:br/>
        <w:t xml:space="preserve">  4. If matches exist, flag Finding with source line number and evidence.</w:t>
      </w:r>
    </w:p>
    <w:p>
      <w:pPr>
        <w:spacing w:before="0" w:after="120" w:line="288" w:lineRule="auto"/>
      </w:pPr>
      <w:r>
        <w:rPr>
          <w:rFonts w:ascii="Arial" w:hAnsi="Arial"/>
          <w:b/>
          <w:color w:val="1A365D"/>
          <w:sz w:val="21"/>
        </w:rPr>
        <w:t>2. Asymmetric Sell Restrictions (HONEYPOT_SELL_RESTRICTION)</w:t>
        <w:br/>
      </w:r>
      <w:r>
        <w:rPr>
          <w:rFonts w:ascii="Arial" w:hAnsi="Arial"/>
          <w:color w:val="2D3748"/>
          <w:sz w:val="21"/>
        </w:rPr>
        <w:t>Severity: CRITICAL | Confidence: HIGH</w:t>
        <w:br/>
        <w:t>Mechanism: The contract selectively enforces transfer logic that allows tokens to flow from DEX liquidity pools (uniswapV2Pair, pancakePair) to users (buying), but explicitly reverts or aborts when users attempt to transfer tokens back to the DEX pool (selling).</w:t>
        <w:br/>
        <w:t>Algorithm:</w:t>
        <w:br/>
        <w:t xml:space="preserve">  1. Identify DEX router and pair identifiers: (uniswapV2Pair|pancakePair|automatedMarketMakerPairs|pair)</w:t>
        <w:br/>
        <w:t xml:space="preserve">  2. Inspect transfer routing for asymmetric destination checks: to == uniswapV2Pair coupled with require(canSell[from]), require(isWhitelisted[from]), or revert("Sell disabled")</w:t>
        <w:br/>
        <w:t xml:space="preserve">  3. Check for conditional branch logic verifying from != owner when to is an automated market maker pair.</w:t>
      </w:r>
    </w:p>
    <w:p>
      <w:pPr>
        <w:spacing w:before="0" w:after="120" w:line="288" w:lineRule="auto"/>
      </w:pPr>
      <w:r>
        <w:rPr>
          <w:rFonts w:ascii="Arial" w:hAnsi="Arial"/>
          <w:b/>
          <w:color w:val="1A365D"/>
          <w:sz w:val="21"/>
        </w:rPr>
        <w:t>3. Excessive Sell Tax Traps (HONEYPOT_EXCESSIVE_SELL_TAX)</w:t>
        <w:br/>
      </w:r>
      <w:r>
        <w:rPr>
          <w:rFonts w:ascii="Arial" w:hAnsi="Arial"/>
          <w:color w:val="2D3748"/>
          <w:sz w:val="21"/>
        </w:rPr>
        <w:t>Severity: CRITICAL | Confidence: HIGH</w:t>
        <w:br/>
        <w:t>Mechanism: Token transfers incur hardcoded taxes exceeding 25%, frequently reaching 90% to 100%. The proceeds are diverted to the creator wallet, completely confiscating the seller's liquidation proceeds.</w:t>
        <w:br/>
        <w:t>Algorithm:</w:t>
        <w:br/>
        <w:t xml:space="preserve">  1. Scan for integer fee literals &gt;= 25: (sellTax|sellFee|taxFee|liquidityFee)\s*=\s*([2-9][5-9]|[3-9][0-9]|100)\b</w:t>
        <w:br/>
        <w:t xml:space="preserve">  2. Scan basis point representations &gt;= 2500 (out of 10,000): (sellFee|tax)\s*=\s*(2500|[3-9][0-9]{3}|10000)\b</w:t>
        <w:br/>
        <w:t xml:space="preserve">  3. Detect direct arithmetic confiscation: (amount * 99) / 100 or (amount * 100) / 100.</w:t>
      </w:r>
    </w:p>
    <w:p>
      <w:pPr>
        <w:spacing w:before="0" w:after="120" w:line="288" w:lineRule="auto"/>
      </w:pPr>
      <w:r>
        <w:rPr>
          <w:rFonts w:ascii="Arial" w:hAnsi="Arial"/>
          <w:b/>
          <w:color w:val="1A365D"/>
          <w:sz w:val="21"/>
        </w:rPr>
        <w:t>4. Unbounded Owner Tax Setters (HONEYPOT_UNLIMITED_OWNER_TAX)</w:t>
        <w:br/>
      </w:r>
      <w:r>
        <w:rPr>
          <w:rFonts w:ascii="Arial" w:hAnsi="Arial"/>
          <w:color w:val="2D3748"/>
          <w:sz w:val="21"/>
        </w:rPr>
        <w:t>Severity: HIGH | Confidence: HIGH</w:t>
        <w:br/>
        <w:t>Mechanism: The contract launches with 0% fees to deceive automated scanners. Once liquidity accumulates, the owner calls setSellTax(99) which lacks an immutable upper ceiling cap.</w:t>
        <w:br/>
        <w:t>Algorithm:</w:t>
        <w:br/>
        <w:t xml:space="preserve">  1. Identify administrative fee setter functions: function (setTax|setFees|setSellFee|setBuyFee|updateTax)\s*\(</w:t>
        <w:br/>
        <w:t xml:space="preserve">  2. Parse function body for upper bound ceiling assertions: require(newTax &lt;= MAX_TAX) or require(newTax &lt;= 25)</w:t>
        <w:br/>
        <w:t xml:space="preserve">  3. If setter modifies fee state variables without an invariant cap check, flag Finding.</w:t>
      </w:r>
    </w:p>
    <w:p>
      <w:pPr>
        <w:spacing w:before="0" w:after="120" w:line="288" w:lineRule="auto"/>
      </w:pPr>
      <w:r>
        <w:rPr>
          <w:rFonts w:ascii="Arial" w:hAnsi="Arial"/>
          <w:b/>
          <w:color w:val="1A365D"/>
          <w:sz w:val="21"/>
        </w:rPr>
        <w:t>5. Trading Cooldown &amp; Delay Timers (HONEYPOT_TRADING_COOLDOWN_DELAY)</w:t>
        <w:br/>
      </w:r>
      <w:r>
        <w:rPr>
          <w:rFonts w:ascii="Arial" w:hAnsi="Arial"/>
          <w:color w:val="2D3748"/>
          <w:sz w:val="21"/>
        </w:rPr>
        <w:t>Severity: HIGH | Confidence: MEDIUM</w:t>
        <w:br/>
        <w:t>Mechanism: Contract introduces artificial time lockups (block.timestamp) or block delays (block.number) between transfers. In honeypots, delays are extended to extreme durations (&gt;= 86400 seconds), locking capital while liquidity is drained.</w:t>
        <w:br/>
        <w:t>Algorithm:</w:t>
        <w:br/>
        <w:t xml:space="preserve">  1. Detect state mappings tracking transfer times: mapping(address =&gt; uint256) (cooldown|lastTrade|lastTransferTime)</w:t>
        <w:br/>
        <w:t xml:space="preserve">  2. Scan revert checks: require(block.timestamp - lastTrade[from] &gt;= cooldown) with cooldown values &gt;= 1 days.</w:t>
      </w:r>
    </w:p>
    <w:p>
      <w:pPr>
        <w:spacing w:before="0" w:after="120" w:line="288" w:lineRule="auto"/>
      </w:pPr>
      <w:r>
        <w:rPr>
          <w:rFonts w:ascii="Arial" w:hAnsi="Arial"/>
          <w:b/>
          <w:color w:val="1A365D"/>
          <w:sz w:val="21"/>
        </w:rPr>
        <w:t>6. Pausable Transfers Circuit Breakers (HONEYPOT_PAUSABLE_TRANSFERS)</w:t>
        <w:br/>
      </w:r>
      <w:r>
        <w:rPr>
          <w:rFonts w:ascii="Arial" w:hAnsi="Arial"/>
          <w:color w:val="2D3748"/>
          <w:sz w:val="21"/>
        </w:rPr>
        <w:t>Severity: HIGH | Confidence: MEDIUM</w:t>
        <w:br/>
        <w:t>Mechanism: Owner-controlled boolean flag (bool public paused) stops all transfers after initial token launch.</w:t>
        <w:br/>
        <w:t>Algorithm:</w:t>
        <w:br/>
        <w:t xml:space="preserve">  1. Detect pause state variables: bool (public|private)? _?paused</w:t>
        <w:br/>
        <w:t xml:space="preserve">  2. Detect transfer guards: require(!paused) or modifier whenNotPaused</w:t>
        <w:br/>
        <w:t xml:space="preserve">  3. Mitigate severity if accompanied by OpenZeppelin Pausable standard and multi-sig ownership.</w:t>
      </w:r>
    </w:p>
    <w:p>
      <w:pPr>
        <w:spacing w:before="0" w:after="120" w:line="288" w:lineRule="auto"/>
      </w:pPr>
      <w:r>
        <w:rPr>
          <w:rFonts w:ascii="Arial" w:hAnsi="Arial"/>
          <w:b/>
          <w:color w:val="1A365D"/>
          <w:sz w:val="21"/>
        </w:rPr>
        <w:t>7. Micro Max-Transaction Ceilings (HONEYPOT_MAX_WALLET_TX_LIMIT)</w:t>
        <w:br/>
      </w:r>
      <w:r>
        <w:rPr>
          <w:rFonts w:ascii="Arial" w:hAnsi="Arial"/>
          <w:color w:val="2D3748"/>
          <w:sz w:val="21"/>
        </w:rPr>
        <w:t>Severity: HIGH | Confidence: HIGH</w:t>
        <w:br/>
        <w:t>Mechanism: Contract sets maxTxAmount to microscopic limits (e.g. 1 wei or 0.0001% of supply). Buying succeeds, but selling full balance reverts.</w:t>
        <w:br/>
        <w:t>Algorithm:</w:t>
        <w:br/>
        <w:t xml:space="preserve">  1. Detect state variables: uint256 (maxTxAmount|maxWalletLimit|maxTransactionAmount)</w:t>
        <w:br/>
        <w:t xml:space="preserve">  2. Scan transfer restrictions: require(amount &lt;= maxTxAmount) where limit is dynamically settable without minimum floor.</w:t>
      </w:r>
    </w:p>
    <w:p>
      <w:pPr>
        <w:spacing w:before="0" w:after="120" w:line="288" w:lineRule="auto"/>
      </w:pPr>
      <w:r>
        <w:rPr>
          <w:rFonts w:ascii="Arial" w:hAnsi="Arial"/>
          <w:b/>
          <w:color w:val="1A365D"/>
          <w:sz w:val="21"/>
        </w:rPr>
        <w:t>8. Hidden Mint Privilege Backdoors (HONEYPOT_HIDDEN_MINT)</w:t>
        <w:br/>
      </w:r>
      <w:r>
        <w:rPr>
          <w:rFonts w:ascii="Arial" w:hAnsi="Arial"/>
          <w:color w:val="2D3748"/>
          <w:sz w:val="21"/>
        </w:rPr>
        <w:t>Severity: CRITICAL | Confidence: HIGH</w:t>
        <w:br/>
        <w:t>Mechanism: Owner-gated mint() declared outside constructor allows deployer to print trillions of tokens and dump them onto DEX.</w:t>
        <w:br/>
        <w:t>Algorithm:</w:t>
        <w:br/>
        <w:t xml:space="preserve">  1. Search for functions matching function (mint|_mintToken|generateTokens)\s*\( outside constructor body.</w:t>
        <w:br/>
        <w:t xml:space="preserve">  2. Check for administrative access modifiers (onlyOwner, onlyAuthorized).</w:t>
        <w:br/>
        <w:t xml:space="preserve">  3. Flag CRITICAL finding if minting lacks supply cap or timelock.</w:t>
      </w:r>
    </w:p>
    <w:p>
      <w:pPr>
        <w:spacing w:before="0" w:after="120" w:line="288" w:lineRule="auto"/>
      </w:pPr>
      <w:r>
        <w:rPr>
          <w:rFonts w:ascii="Arial" w:hAnsi="Arial"/>
          <w:b/>
          <w:color w:val="1A365D"/>
          <w:sz w:val="21"/>
        </w:rPr>
        <w:t>9. Suspicious Inline Assembly Traps (HONEYPOT_SUSPICIOUS_ASSEMBLY)</w:t>
        <w:br/>
      </w:r>
      <w:r>
        <w:rPr>
          <w:rFonts w:ascii="Arial" w:hAnsi="Arial"/>
          <w:color w:val="2D3748"/>
          <w:sz w:val="21"/>
        </w:rPr>
        <w:t>Severity: HIGH | Confidence: HIGH</w:t>
        <w:br/>
        <w:t>Mechanism: Inline assembly blocks (assembly { ... }) or delegatecall opcodes bypass compiler safety to overwrite storage balances.</w:t>
        <w:br/>
        <w:t>Algorithm:</w:t>
        <w:br/>
        <w:t xml:space="preserve">  1. Match assembly\s*\{[^}]*\} blocks inside transfer routines.</w:t>
        <w:br/>
        <w:t xml:space="preserve">  2. Flag low-level opcodes: delegatecall, selfdestruct, callcode, or arbitrary sstore operations.</w:t>
      </w:r>
    </w:p>
    <w:p>
      <w:pPr>
        <w:spacing w:before="0" w:after="120" w:line="288" w:lineRule="auto"/>
      </w:pPr>
      <w:r>
        <w:rPr>
          <w:rFonts w:ascii="Arial" w:hAnsi="Arial"/>
          <w:b/>
          <w:color w:val="1A365D"/>
          <w:sz w:val="21"/>
        </w:rPr>
        <w:t>10. External Restriction Calls &amp; Dynamic Oracles (HONEYPOT_EXTERNAL_RESTRICTION_CALL)</w:t>
        <w:br/>
      </w:r>
      <w:r>
        <w:rPr>
          <w:rFonts w:ascii="Arial" w:hAnsi="Arial"/>
          <w:color w:val="2D3748"/>
          <w:sz w:val="21"/>
        </w:rPr>
        <w:t>Severity: HIGH | Confidence: MEDIUM</w:t>
        <w:br/>
        <w:t>Mechanism: Transfer routine queries external contract (ITokenFilter(oracle).canTransfer(from, to)). Oracle is flipped to return false for sells.</w:t>
        <w:br/>
        <w:t>Algorithm:</w:t>
        <w:br/>
        <w:t xml:space="preserve">  1. Match external interface calls in transfer logic: I(Filter|Security|Oracle|Rule|Checker)(...)\.canTransfer</w:t>
        <w:br/>
        <w:t xml:space="preserve">  2. Match low-level external calls: address.call(abi.encodeWithSignature(...)) within transfer paths.</w:t>
      </w:r>
    </w:p>
    <w:p>
      <w:pPr>
        <w:pStyle w:val="Heading2"/>
        <w:keepNext/>
        <w:spacing w:before="280" w:after="120"/>
      </w:pPr>
      <w:r>
        <w:rPr>
          <w:rFonts w:ascii="Arial" w:hAnsi="Arial"/>
          <w:b/>
          <w:color w:val="2B6CB0"/>
          <w:sz w:val="27"/>
        </w:rPr>
        <w:t>3.2 19-Dimensional Feature Extraction Algorithm</w:t>
      </w:r>
    </w:p>
    <w:p>
      <w:pPr>
        <w:spacing w:before="0" w:after="120" w:line="288" w:lineRule="auto"/>
      </w:pPr>
      <w:r>
        <w:rPr>
          <w:rFonts w:ascii="Arial" w:hAnsi="Arial"/>
          <w:color w:val="2D3748"/>
          <w:sz w:val="21"/>
        </w:rPr>
        <w:t>The `FeatureExtractor` executes a deterministic transformation mapping raw Solidity source code into a normalized 19-dimensional feature vector $X = [x_1, x_2, \dots, x_{19}]^T \in \mathbb{R}^{19}$:</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864"/>
            <w:shd w:fill="1A365D"/>
            <w:tcMar>
              <w:top w:w="120" w:type="dxa"/>
              <w:bottom w:w="120" w:type="dxa"/>
              <w:left w:w="140" w:type="dxa"/>
              <w:right w:w="140" w:type="dxa"/>
            </w:tcMar>
          </w:tcPr>
          <w:p>
            <w:pPr>
              <w:jc w:val="center"/>
            </w:pPr>
            <w:r>
              <w:rPr>
                <w:rFonts w:ascii="Arial" w:hAnsi="Arial"/>
                <w:b/>
                <w:color w:val="FFFFFF"/>
                <w:sz w:val="19"/>
              </w:rPr>
              <w:t>Index</w:t>
            </w:r>
          </w:p>
        </w:tc>
        <w:tc>
          <w:tcPr>
            <w:tcW w:type="dxa" w:w="2880"/>
            <w:shd w:fill="1A365D"/>
            <w:tcMar>
              <w:top w:w="120" w:type="dxa"/>
              <w:bottom w:w="120" w:type="dxa"/>
              <w:left w:w="140" w:type="dxa"/>
              <w:right w:w="140" w:type="dxa"/>
            </w:tcMar>
          </w:tcPr>
          <w:p>
            <w:pPr>
              <w:jc w:val="center"/>
            </w:pPr>
            <w:r>
              <w:rPr>
                <w:rFonts w:ascii="Arial" w:hAnsi="Arial"/>
                <w:b/>
                <w:color w:val="FFFFFF"/>
                <w:sz w:val="19"/>
              </w:rPr>
              <w:t>Feature Dimension Name</w:t>
            </w:r>
          </w:p>
        </w:tc>
        <w:tc>
          <w:tcPr>
            <w:tcW w:type="dxa" w:w="2016"/>
            <w:shd w:fill="1A365D"/>
            <w:tcMar>
              <w:top w:w="120" w:type="dxa"/>
              <w:bottom w:w="120" w:type="dxa"/>
              <w:left w:w="140" w:type="dxa"/>
              <w:right w:w="140" w:type="dxa"/>
            </w:tcMar>
          </w:tcPr>
          <w:p>
            <w:pPr>
              <w:jc w:val="center"/>
            </w:pPr>
            <w:r>
              <w:rPr>
                <w:rFonts w:ascii="Arial" w:hAnsi="Arial"/>
                <w:b/>
                <w:color w:val="FFFFFF"/>
                <w:sz w:val="19"/>
              </w:rPr>
              <w:t>Type &amp; Domain</w:t>
            </w:r>
          </w:p>
        </w:tc>
        <w:tc>
          <w:tcPr>
            <w:tcW w:type="dxa" w:w="3600"/>
            <w:shd w:fill="1A365D"/>
            <w:tcMar>
              <w:top w:w="120" w:type="dxa"/>
              <w:bottom w:w="120" w:type="dxa"/>
              <w:left w:w="140" w:type="dxa"/>
              <w:right w:w="140" w:type="dxa"/>
            </w:tcMar>
          </w:tcPr>
          <w:p>
            <w:pPr>
              <w:jc w:val="center"/>
            </w:pPr>
            <w:r>
              <w:rPr>
                <w:rFonts w:ascii="Arial" w:hAnsi="Arial"/>
                <w:b/>
                <w:color w:val="FFFFFF"/>
                <w:sz w:val="19"/>
              </w:rPr>
              <w:t>Forensic Definition</w:t>
            </w:r>
          </w:p>
        </w:tc>
      </w:tr>
      <w:tr>
        <w:trPr>
          <w:cantSplit/>
        </w:trPr>
        <w:tc>
          <w:tcPr>
            <w:tcW w:type="dxa" w:w="864"/>
            <w:shd w:fill="FFFFFF"/>
            <w:tcMar>
              <w:top w:w="100" w:type="dxa"/>
              <w:bottom w:w="100" w:type="dxa"/>
              <w:left w:w="140" w:type="dxa"/>
              <w:right w:w="140" w:type="dxa"/>
            </w:tcMar>
          </w:tcPr>
          <w:p>
            <w:pPr>
              <w:jc w:val="center"/>
            </w:pPr>
            <w:r>
              <w:rPr>
                <w:rFonts w:ascii="Arial" w:hAnsi="Arial"/>
                <w:color w:val="2D3748"/>
                <w:sz w:val="18"/>
              </w:rPr>
              <w:t>1</w:t>
            </w:r>
          </w:p>
        </w:tc>
        <w:tc>
          <w:tcPr>
            <w:tcW w:type="dxa" w:w="2880"/>
            <w:shd w:fill="FFFFFF"/>
            <w:tcMar>
              <w:top w:w="100" w:type="dxa"/>
              <w:bottom w:w="100" w:type="dxa"/>
              <w:left w:w="140" w:type="dxa"/>
              <w:right w:w="140" w:type="dxa"/>
            </w:tcMar>
          </w:tcPr>
          <w:p>
            <w:pPr>
              <w:jc w:val="left"/>
            </w:pPr>
            <w:r>
              <w:rPr>
                <w:rFonts w:ascii="Arial" w:hAnsi="Arial"/>
                <w:color w:val="2D3748"/>
                <w:sz w:val="18"/>
              </w:rPr>
              <w:t>lines_of_code</w:t>
            </w:r>
          </w:p>
        </w:tc>
        <w:tc>
          <w:tcPr>
            <w:tcW w:type="dxa" w:w="2016"/>
            <w:shd w:fill="FFFFFF"/>
            <w:tcMar>
              <w:top w:w="100" w:type="dxa"/>
              <w:bottom w:w="100" w:type="dxa"/>
              <w:left w:w="140" w:type="dxa"/>
              <w:right w:w="140" w:type="dxa"/>
            </w:tcMar>
          </w:tcPr>
          <w:p>
            <w:pPr>
              <w:jc w:val="left"/>
            </w:pPr>
            <w:r>
              <w:rPr>
                <w:rFonts w:ascii="Arial" w:hAnsi="Arial"/>
                <w:color w:val="2D3748"/>
                <w:sz w:val="18"/>
              </w:rPr>
              <w:t>Continuous (int)</w:t>
            </w:r>
          </w:p>
        </w:tc>
        <w:tc>
          <w:tcPr>
            <w:tcW w:type="dxa" w:w="3600"/>
            <w:shd w:fill="FFFFFF"/>
            <w:tcMar>
              <w:top w:w="100" w:type="dxa"/>
              <w:bottom w:w="100" w:type="dxa"/>
              <w:left w:w="140" w:type="dxa"/>
              <w:right w:w="140" w:type="dxa"/>
            </w:tcMar>
          </w:tcPr>
          <w:p>
            <w:pPr>
              <w:jc w:val="left"/>
            </w:pPr>
            <w:r>
              <w:rPr>
                <w:rFonts w:ascii="Arial" w:hAnsi="Arial"/>
                <w:color w:val="2D3748"/>
                <w:sz w:val="18"/>
              </w:rPr>
              <w:t>Total non-blank, non-comment lines of Solidity code</w:t>
            </w:r>
          </w:p>
        </w:tc>
      </w:tr>
      <w:tr>
        <w:trPr>
          <w:cantSplit/>
        </w:trPr>
        <w:tc>
          <w:tcPr>
            <w:tcW w:type="dxa" w:w="864"/>
            <w:shd w:fill="F7FAFC"/>
            <w:tcMar>
              <w:top w:w="100" w:type="dxa"/>
              <w:bottom w:w="100" w:type="dxa"/>
              <w:left w:w="140" w:type="dxa"/>
              <w:right w:w="140" w:type="dxa"/>
            </w:tcMar>
          </w:tcPr>
          <w:p>
            <w:pPr>
              <w:jc w:val="center"/>
            </w:pPr>
            <w:r>
              <w:rPr>
                <w:rFonts w:ascii="Arial" w:hAnsi="Arial"/>
                <w:color w:val="2D3748"/>
                <w:sz w:val="18"/>
              </w:rPr>
              <w:t>2</w:t>
            </w:r>
          </w:p>
        </w:tc>
        <w:tc>
          <w:tcPr>
            <w:tcW w:type="dxa" w:w="2880"/>
            <w:shd w:fill="F7FAFC"/>
            <w:tcMar>
              <w:top w:w="100" w:type="dxa"/>
              <w:bottom w:w="100" w:type="dxa"/>
              <w:left w:w="140" w:type="dxa"/>
              <w:right w:w="140" w:type="dxa"/>
            </w:tcMar>
          </w:tcPr>
          <w:p>
            <w:pPr>
              <w:jc w:val="left"/>
            </w:pPr>
            <w:r>
              <w:rPr>
                <w:rFonts w:ascii="Arial" w:hAnsi="Arial"/>
                <w:color w:val="2D3748"/>
                <w:sz w:val="18"/>
              </w:rPr>
              <w:t>num_functions</w:t>
            </w:r>
          </w:p>
        </w:tc>
        <w:tc>
          <w:tcPr>
            <w:tcW w:type="dxa" w:w="2016"/>
            <w:shd w:fill="F7FAFC"/>
            <w:tcMar>
              <w:top w:w="100" w:type="dxa"/>
              <w:bottom w:w="100" w:type="dxa"/>
              <w:left w:w="140" w:type="dxa"/>
              <w:right w:w="140" w:type="dxa"/>
            </w:tcMar>
          </w:tcPr>
          <w:p>
            <w:pPr>
              <w:jc w:val="left"/>
            </w:pPr>
            <w:r>
              <w:rPr>
                <w:rFonts w:ascii="Arial" w:hAnsi="Arial"/>
                <w:color w:val="2D3748"/>
                <w:sz w:val="18"/>
              </w:rPr>
              <w:t>Continuous (int)</w:t>
            </w:r>
          </w:p>
        </w:tc>
        <w:tc>
          <w:tcPr>
            <w:tcW w:type="dxa" w:w="3600"/>
            <w:shd w:fill="F7FAFC"/>
            <w:tcMar>
              <w:top w:w="100" w:type="dxa"/>
              <w:bottom w:w="100" w:type="dxa"/>
              <w:left w:w="140" w:type="dxa"/>
              <w:right w:w="140" w:type="dxa"/>
            </w:tcMar>
          </w:tcPr>
          <w:p>
            <w:pPr>
              <w:jc w:val="left"/>
            </w:pPr>
            <w:r>
              <w:rPr>
                <w:rFonts w:ascii="Arial" w:hAnsi="Arial"/>
                <w:color w:val="2D3748"/>
                <w:sz w:val="18"/>
              </w:rPr>
              <w:t>Total parsed contract functions in source</w:t>
            </w:r>
          </w:p>
        </w:tc>
      </w:tr>
      <w:tr>
        <w:trPr>
          <w:cantSplit/>
        </w:trPr>
        <w:tc>
          <w:tcPr>
            <w:tcW w:type="dxa" w:w="864"/>
            <w:shd w:fill="FFFFFF"/>
            <w:tcMar>
              <w:top w:w="100" w:type="dxa"/>
              <w:bottom w:w="100" w:type="dxa"/>
              <w:left w:w="140" w:type="dxa"/>
              <w:right w:w="140" w:type="dxa"/>
            </w:tcMar>
          </w:tcPr>
          <w:p>
            <w:pPr>
              <w:jc w:val="center"/>
            </w:pPr>
            <w:r>
              <w:rPr>
                <w:rFonts w:ascii="Arial" w:hAnsi="Arial"/>
                <w:color w:val="2D3748"/>
                <w:sz w:val="18"/>
              </w:rPr>
              <w:t>3</w:t>
            </w:r>
          </w:p>
        </w:tc>
        <w:tc>
          <w:tcPr>
            <w:tcW w:type="dxa" w:w="2880"/>
            <w:shd w:fill="FFFFFF"/>
            <w:tcMar>
              <w:top w:w="100" w:type="dxa"/>
              <w:bottom w:w="100" w:type="dxa"/>
              <w:left w:w="140" w:type="dxa"/>
              <w:right w:w="140" w:type="dxa"/>
            </w:tcMar>
          </w:tcPr>
          <w:p>
            <w:pPr>
              <w:jc w:val="left"/>
            </w:pPr>
            <w:r>
              <w:rPr>
                <w:rFonts w:ascii="Arial" w:hAnsi="Arial"/>
                <w:color w:val="2D3748"/>
                <w:sz w:val="18"/>
              </w:rPr>
              <w:t>num_modifiers</w:t>
            </w:r>
          </w:p>
        </w:tc>
        <w:tc>
          <w:tcPr>
            <w:tcW w:type="dxa" w:w="2016"/>
            <w:shd w:fill="FFFFFF"/>
            <w:tcMar>
              <w:top w:w="100" w:type="dxa"/>
              <w:bottom w:w="100" w:type="dxa"/>
              <w:left w:w="140" w:type="dxa"/>
              <w:right w:w="140" w:type="dxa"/>
            </w:tcMar>
          </w:tcPr>
          <w:p>
            <w:pPr>
              <w:jc w:val="left"/>
            </w:pPr>
            <w:r>
              <w:rPr>
                <w:rFonts w:ascii="Arial" w:hAnsi="Arial"/>
                <w:color w:val="2D3748"/>
                <w:sz w:val="18"/>
              </w:rPr>
              <w:t>Continuous (int)</w:t>
            </w:r>
          </w:p>
        </w:tc>
        <w:tc>
          <w:tcPr>
            <w:tcW w:type="dxa" w:w="3600"/>
            <w:shd w:fill="FFFFFF"/>
            <w:tcMar>
              <w:top w:w="100" w:type="dxa"/>
              <w:bottom w:w="100" w:type="dxa"/>
              <w:left w:w="140" w:type="dxa"/>
              <w:right w:w="140" w:type="dxa"/>
            </w:tcMar>
          </w:tcPr>
          <w:p>
            <w:pPr>
              <w:jc w:val="left"/>
            </w:pPr>
            <w:r>
              <w:rPr>
                <w:rFonts w:ascii="Arial" w:hAnsi="Arial"/>
                <w:color w:val="2D3748"/>
                <w:sz w:val="18"/>
              </w:rPr>
              <w:t>Total custom modifier definitions in contract</w:t>
            </w:r>
          </w:p>
        </w:tc>
      </w:tr>
      <w:tr>
        <w:trPr>
          <w:cantSplit/>
        </w:trPr>
        <w:tc>
          <w:tcPr>
            <w:tcW w:type="dxa" w:w="864"/>
            <w:shd w:fill="F7FAFC"/>
            <w:tcMar>
              <w:top w:w="100" w:type="dxa"/>
              <w:bottom w:w="100" w:type="dxa"/>
              <w:left w:w="140" w:type="dxa"/>
              <w:right w:w="140" w:type="dxa"/>
            </w:tcMar>
          </w:tcPr>
          <w:p>
            <w:pPr>
              <w:jc w:val="center"/>
            </w:pPr>
            <w:r>
              <w:rPr>
                <w:rFonts w:ascii="Arial" w:hAnsi="Arial"/>
                <w:color w:val="2D3748"/>
                <w:sz w:val="18"/>
              </w:rPr>
              <w:t>4</w:t>
            </w:r>
          </w:p>
        </w:tc>
        <w:tc>
          <w:tcPr>
            <w:tcW w:type="dxa" w:w="2880"/>
            <w:shd w:fill="F7FAFC"/>
            <w:tcMar>
              <w:top w:w="100" w:type="dxa"/>
              <w:bottom w:w="100" w:type="dxa"/>
              <w:left w:w="140" w:type="dxa"/>
              <w:right w:w="140" w:type="dxa"/>
            </w:tcMar>
          </w:tcPr>
          <w:p>
            <w:pPr>
              <w:jc w:val="left"/>
            </w:pPr>
            <w:r>
              <w:rPr>
                <w:rFonts w:ascii="Arial" w:hAnsi="Arial"/>
                <w:color w:val="2D3748"/>
                <w:sz w:val="18"/>
              </w:rPr>
              <w:t>has_transfer_function</w:t>
            </w:r>
          </w:p>
        </w:tc>
        <w:tc>
          <w:tcPr>
            <w:tcW w:type="dxa" w:w="2016"/>
            <w:shd w:fill="F7FAFC"/>
            <w:tcMar>
              <w:top w:w="100" w:type="dxa"/>
              <w:bottom w:w="100" w:type="dxa"/>
              <w:left w:w="140" w:type="dxa"/>
              <w:right w:w="140" w:type="dxa"/>
            </w:tcMar>
          </w:tcPr>
          <w:p>
            <w:pPr>
              <w:jc w:val="left"/>
            </w:pPr>
            <w:r>
              <w:rPr>
                <w:rFonts w:ascii="Arial" w:hAnsi="Arial"/>
                <w:color w:val="2D3748"/>
                <w:sz w:val="18"/>
              </w:rPr>
              <w:t>Binary {0, 1}</w:t>
            </w:r>
          </w:p>
        </w:tc>
        <w:tc>
          <w:tcPr>
            <w:tcW w:type="dxa" w:w="3600"/>
            <w:shd w:fill="F7FAFC"/>
            <w:tcMar>
              <w:top w:w="100" w:type="dxa"/>
              <w:bottom w:w="100" w:type="dxa"/>
              <w:left w:w="140" w:type="dxa"/>
              <w:right w:w="140" w:type="dxa"/>
            </w:tcMar>
          </w:tcPr>
          <w:p>
            <w:pPr>
              <w:jc w:val="left"/>
            </w:pPr>
            <w:r>
              <w:rPr>
                <w:rFonts w:ascii="Arial" w:hAnsi="Arial"/>
                <w:color w:val="2D3748"/>
                <w:sz w:val="18"/>
              </w:rPr>
              <w:t>Whether ERC-20 transfer or transferFrom is defined</w:t>
            </w:r>
          </w:p>
        </w:tc>
      </w:tr>
      <w:tr>
        <w:trPr>
          <w:cantSplit/>
        </w:trPr>
        <w:tc>
          <w:tcPr>
            <w:tcW w:type="dxa" w:w="864"/>
            <w:shd w:fill="FFFFFF"/>
            <w:tcMar>
              <w:top w:w="100" w:type="dxa"/>
              <w:bottom w:w="100" w:type="dxa"/>
              <w:left w:w="140" w:type="dxa"/>
              <w:right w:w="140" w:type="dxa"/>
            </w:tcMar>
          </w:tcPr>
          <w:p>
            <w:pPr>
              <w:jc w:val="center"/>
            </w:pPr>
            <w:r>
              <w:rPr>
                <w:rFonts w:ascii="Arial" w:hAnsi="Arial"/>
                <w:color w:val="2D3748"/>
                <w:sz w:val="18"/>
              </w:rPr>
              <w:t>5</w:t>
            </w:r>
          </w:p>
        </w:tc>
        <w:tc>
          <w:tcPr>
            <w:tcW w:type="dxa" w:w="2880"/>
            <w:shd w:fill="FFFFFF"/>
            <w:tcMar>
              <w:top w:w="100" w:type="dxa"/>
              <w:bottom w:w="100" w:type="dxa"/>
              <w:left w:w="140" w:type="dxa"/>
              <w:right w:w="140" w:type="dxa"/>
            </w:tcMar>
          </w:tcPr>
          <w:p>
            <w:pPr>
              <w:jc w:val="left"/>
            </w:pPr>
            <w:r>
              <w:rPr>
                <w:rFonts w:ascii="Arial" w:hAnsi="Arial"/>
                <w:color w:val="2D3748"/>
                <w:sz w:val="18"/>
              </w:rPr>
              <w:t>has_owner_control</w:t>
            </w:r>
          </w:p>
        </w:tc>
        <w:tc>
          <w:tcPr>
            <w:tcW w:type="dxa" w:w="2016"/>
            <w:shd w:fill="FFFFFF"/>
            <w:tcMar>
              <w:top w:w="100" w:type="dxa"/>
              <w:bottom w:w="100" w:type="dxa"/>
              <w:left w:w="140" w:type="dxa"/>
              <w:right w:w="140" w:type="dxa"/>
            </w:tcMar>
          </w:tcPr>
          <w:p>
            <w:pPr>
              <w:jc w:val="left"/>
            </w:pPr>
            <w:r>
              <w:rPr>
                <w:rFonts w:ascii="Arial" w:hAnsi="Arial"/>
                <w:color w:val="2D3748"/>
                <w:sz w:val="18"/>
              </w:rPr>
              <w:t>Binary {0, 1}</w:t>
            </w:r>
          </w:p>
        </w:tc>
        <w:tc>
          <w:tcPr>
            <w:tcW w:type="dxa" w:w="3600"/>
            <w:shd w:fill="FFFFFF"/>
            <w:tcMar>
              <w:top w:w="100" w:type="dxa"/>
              <w:bottom w:w="100" w:type="dxa"/>
              <w:left w:w="140" w:type="dxa"/>
              <w:right w:w="140" w:type="dxa"/>
            </w:tcMar>
          </w:tcPr>
          <w:p>
            <w:pPr>
              <w:jc w:val="left"/>
            </w:pPr>
            <w:r>
              <w:rPr>
                <w:rFonts w:ascii="Arial" w:hAnsi="Arial"/>
                <w:color w:val="2D3748"/>
                <w:sz w:val="18"/>
              </w:rPr>
              <w:t>Presence of Ownable or administrative access guards</w:t>
            </w:r>
          </w:p>
        </w:tc>
      </w:tr>
      <w:tr>
        <w:trPr>
          <w:cantSplit/>
        </w:trPr>
        <w:tc>
          <w:tcPr>
            <w:tcW w:type="dxa" w:w="864"/>
            <w:shd w:fill="F7FAFC"/>
            <w:tcMar>
              <w:top w:w="100" w:type="dxa"/>
              <w:bottom w:w="100" w:type="dxa"/>
              <w:left w:w="140" w:type="dxa"/>
              <w:right w:w="140" w:type="dxa"/>
            </w:tcMar>
          </w:tcPr>
          <w:p>
            <w:pPr>
              <w:jc w:val="center"/>
            </w:pPr>
            <w:r>
              <w:rPr>
                <w:rFonts w:ascii="Arial" w:hAnsi="Arial"/>
                <w:color w:val="2D3748"/>
                <w:sz w:val="18"/>
              </w:rPr>
              <w:t>6</w:t>
            </w:r>
          </w:p>
        </w:tc>
        <w:tc>
          <w:tcPr>
            <w:tcW w:type="dxa" w:w="2880"/>
            <w:shd w:fill="F7FAFC"/>
            <w:tcMar>
              <w:top w:w="100" w:type="dxa"/>
              <w:bottom w:w="100" w:type="dxa"/>
              <w:left w:w="140" w:type="dxa"/>
              <w:right w:w="140" w:type="dxa"/>
            </w:tcMar>
          </w:tcPr>
          <w:p>
            <w:pPr>
              <w:jc w:val="left"/>
            </w:pPr>
            <w:r>
              <w:rPr>
                <w:rFonts w:ascii="Arial" w:hAnsi="Arial"/>
                <w:color w:val="2D3748"/>
                <w:sz w:val="18"/>
              </w:rPr>
              <w:t>has_blacklist_mapping</w:t>
            </w:r>
          </w:p>
        </w:tc>
        <w:tc>
          <w:tcPr>
            <w:tcW w:type="dxa" w:w="2016"/>
            <w:shd w:fill="F7FAFC"/>
            <w:tcMar>
              <w:top w:w="100" w:type="dxa"/>
              <w:bottom w:w="100" w:type="dxa"/>
              <w:left w:w="140" w:type="dxa"/>
              <w:right w:w="140" w:type="dxa"/>
            </w:tcMar>
          </w:tcPr>
          <w:p>
            <w:pPr>
              <w:jc w:val="left"/>
            </w:pPr>
            <w:r>
              <w:rPr>
                <w:rFonts w:ascii="Arial" w:hAnsi="Arial"/>
                <w:color w:val="2D3748"/>
                <w:sz w:val="18"/>
              </w:rPr>
              <w:t>Binary {0, 1}</w:t>
            </w:r>
          </w:p>
        </w:tc>
        <w:tc>
          <w:tcPr>
            <w:tcW w:type="dxa" w:w="3600"/>
            <w:shd w:fill="F7FAFC"/>
            <w:tcMar>
              <w:top w:w="100" w:type="dxa"/>
              <w:bottom w:w="100" w:type="dxa"/>
              <w:left w:w="140" w:type="dxa"/>
              <w:right w:w="140" w:type="dxa"/>
            </w:tcMar>
          </w:tcPr>
          <w:p>
            <w:pPr>
              <w:jc w:val="left"/>
            </w:pPr>
            <w:r>
              <w:rPr>
                <w:rFonts w:ascii="Arial" w:hAnsi="Arial"/>
                <w:color w:val="2D3748"/>
                <w:sz w:val="18"/>
              </w:rPr>
              <w:t>Detection of address blacklist mapping or modifier</w:t>
            </w:r>
          </w:p>
        </w:tc>
      </w:tr>
      <w:tr>
        <w:trPr>
          <w:cantSplit/>
        </w:trPr>
        <w:tc>
          <w:tcPr>
            <w:tcW w:type="dxa" w:w="864"/>
            <w:shd w:fill="FFFFFF"/>
            <w:tcMar>
              <w:top w:w="100" w:type="dxa"/>
              <w:bottom w:w="100" w:type="dxa"/>
              <w:left w:w="140" w:type="dxa"/>
              <w:right w:w="140" w:type="dxa"/>
            </w:tcMar>
          </w:tcPr>
          <w:p>
            <w:pPr>
              <w:jc w:val="center"/>
            </w:pPr>
            <w:r>
              <w:rPr>
                <w:rFonts w:ascii="Arial" w:hAnsi="Arial"/>
                <w:color w:val="2D3748"/>
                <w:sz w:val="18"/>
              </w:rPr>
              <w:t>7</w:t>
            </w:r>
          </w:p>
        </w:tc>
        <w:tc>
          <w:tcPr>
            <w:tcW w:type="dxa" w:w="2880"/>
            <w:shd w:fill="FFFFFF"/>
            <w:tcMar>
              <w:top w:w="100" w:type="dxa"/>
              <w:bottom w:w="100" w:type="dxa"/>
              <w:left w:w="140" w:type="dxa"/>
              <w:right w:w="140" w:type="dxa"/>
            </w:tcMar>
          </w:tcPr>
          <w:p>
            <w:pPr>
              <w:jc w:val="left"/>
            </w:pPr>
            <w:r>
              <w:rPr>
                <w:rFonts w:ascii="Arial" w:hAnsi="Arial"/>
                <w:color w:val="2D3748"/>
                <w:sz w:val="18"/>
              </w:rPr>
              <w:t>has_sell_restriction_logic</w:t>
            </w:r>
          </w:p>
        </w:tc>
        <w:tc>
          <w:tcPr>
            <w:tcW w:type="dxa" w:w="2016"/>
            <w:shd w:fill="FFFFFF"/>
            <w:tcMar>
              <w:top w:w="100" w:type="dxa"/>
              <w:bottom w:w="100" w:type="dxa"/>
              <w:left w:w="140" w:type="dxa"/>
              <w:right w:w="140" w:type="dxa"/>
            </w:tcMar>
          </w:tcPr>
          <w:p>
            <w:pPr>
              <w:jc w:val="left"/>
            </w:pPr>
            <w:r>
              <w:rPr>
                <w:rFonts w:ascii="Arial" w:hAnsi="Arial"/>
                <w:color w:val="2D3748"/>
                <w:sz w:val="18"/>
              </w:rPr>
              <w:t>Binary {0, 1}</w:t>
            </w:r>
          </w:p>
        </w:tc>
        <w:tc>
          <w:tcPr>
            <w:tcW w:type="dxa" w:w="3600"/>
            <w:shd w:fill="FFFFFF"/>
            <w:tcMar>
              <w:top w:w="100" w:type="dxa"/>
              <w:bottom w:w="100" w:type="dxa"/>
              <w:left w:w="140" w:type="dxa"/>
              <w:right w:w="140" w:type="dxa"/>
            </w:tcMar>
          </w:tcPr>
          <w:p>
            <w:pPr>
              <w:jc w:val="left"/>
            </w:pPr>
            <w:r>
              <w:rPr>
                <w:rFonts w:ascii="Arial" w:hAnsi="Arial"/>
                <w:color w:val="2D3748"/>
                <w:sz w:val="18"/>
              </w:rPr>
              <w:t>Detection of asymmetric DEX pair sell revert logic</w:t>
            </w:r>
          </w:p>
        </w:tc>
      </w:tr>
      <w:tr>
        <w:trPr>
          <w:cantSplit/>
        </w:trPr>
        <w:tc>
          <w:tcPr>
            <w:tcW w:type="dxa" w:w="864"/>
            <w:shd w:fill="F7FAFC"/>
            <w:tcMar>
              <w:top w:w="100" w:type="dxa"/>
              <w:bottom w:w="100" w:type="dxa"/>
              <w:left w:w="140" w:type="dxa"/>
              <w:right w:w="140" w:type="dxa"/>
            </w:tcMar>
          </w:tcPr>
          <w:p>
            <w:pPr>
              <w:jc w:val="center"/>
            </w:pPr>
            <w:r>
              <w:rPr>
                <w:rFonts w:ascii="Arial" w:hAnsi="Arial"/>
                <w:color w:val="2D3748"/>
                <w:sz w:val="18"/>
              </w:rPr>
              <w:t>8</w:t>
            </w:r>
          </w:p>
        </w:tc>
        <w:tc>
          <w:tcPr>
            <w:tcW w:type="dxa" w:w="2880"/>
            <w:shd w:fill="F7FAFC"/>
            <w:tcMar>
              <w:top w:w="100" w:type="dxa"/>
              <w:bottom w:w="100" w:type="dxa"/>
              <w:left w:w="140" w:type="dxa"/>
              <w:right w:w="140" w:type="dxa"/>
            </w:tcMar>
          </w:tcPr>
          <w:p>
            <w:pPr>
              <w:jc w:val="left"/>
            </w:pPr>
            <w:r>
              <w:rPr>
                <w:rFonts w:ascii="Arial" w:hAnsi="Arial"/>
                <w:color w:val="2D3748"/>
                <w:sz w:val="18"/>
              </w:rPr>
              <w:t>has_excessive_fee</w:t>
            </w:r>
          </w:p>
        </w:tc>
        <w:tc>
          <w:tcPr>
            <w:tcW w:type="dxa" w:w="2016"/>
            <w:shd w:fill="F7FAFC"/>
            <w:tcMar>
              <w:top w:w="100" w:type="dxa"/>
              <w:bottom w:w="100" w:type="dxa"/>
              <w:left w:w="140" w:type="dxa"/>
              <w:right w:w="140" w:type="dxa"/>
            </w:tcMar>
          </w:tcPr>
          <w:p>
            <w:pPr>
              <w:jc w:val="left"/>
            </w:pPr>
            <w:r>
              <w:rPr>
                <w:rFonts w:ascii="Arial" w:hAnsi="Arial"/>
                <w:color w:val="2D3748"/>
                <w:sz w:val="18"/>
              </w:rPr>
              <w:t>Binary {0, 1}</w:t>
            </w:r>
          </w:p>
        </w:tc>
        <w:tc>
          <w:tcPr>
            <w:tcW w:type="dxa" w:w="3600"/>
            <w:shd w:fill="F7FAFC"/>
            <w:tcMar>
              <w:top w:w="100" w:type="dxa"/>
              <w:bottom w:w="100" w:type="dxa"/>
              <w:left w:w="140" w:type="dxa"/>
              <w:right w:w="140" w:type="dxa"/>
            </w:tcMar>
          </w:tcPr>
          <w:p>
            <w:pPr>
              <w:jc w:val="left"/>
            </w:pPr>
            <w:r>
              <w:rPr>
                <w:rFonts w:ascii="Arial" w:hAnsi="Arial"/>
                <w:color w:val="2D3748"/>
                <w:sz w:val="18"/>
              </w:rPr>
              <w:t>Detection of transfer or sell fee &gt;= 25%</w:t>
            </w:r>
          </w:p>
        </w:tc>
      </w:tr>
      <w:tr>
        <w:trPr>
          <w:cantSplit/>
        </w:trPr>
        <w:tc>
          <w:tcPr>
            <w:tcW w:type="dxa" w:w="864"/>
            <w:shd w:fill="FFFFFF"/>
            <w:tcMar>
              <w:top w:w="100" w:type="dxa"/>
              <w:bottom w:w="100" w:type="dxa"/>
              <w:left w:w="140" w:type="dxa"/>
              <w:right w:w="140" w:type="dxa"/>
            </w:tcMar>
          </w:tcPr>
          <w:p>
            <w:pPr>
              <w:jc w:val="center"/>
            </w:pPr>
            <w:r>
              <w:rPr>
                <w:rFonts w:ascii="Arial" w:hAnsi="Arial"/>
                <w:color w:val="2D3748"/>
                <w:sz w:val="18"/>
              </w:rPr>
              <w:t>9</w:t>
            </w:r>
          </w:p>
        </w:tc>
        <w:tc>
          <w:tcPr>
            <w:tcW w:type="dxa" w:w="2880"/>
            <w:shd w:fill="FFFFFF"/>
            <w:tcMar>
              <w:top w:w="100" w:type="dxa"/>
              <w:bottom w:w="100" w:type="dxa"/>
              <w:left w:w="140" w:type="dxa"/>
              <w:right w:w="140" w:type="dxa"/>
            </w:tcMar>
          </w:tcPr>
          <w:p>
            <w:pPr>
              <w:jc w:val="left"/>
            </w:pPr>
            <w:r>
              <w:rPr>
                <w:rFonts w:ascii="Arial" w:hAnsi="Arial"/>
                <w:color w:val="2D3748"/>
                <w:sz w:val="18"/>
              </w:rPr>
              <w:t>has_unbounded_fee_setter</w:t>
            </w:r>
          </w:p>
        </w:tc>
        <w:tc>
          <w:tcPr>
            <w:tcW w:type="dxa" w:w="2016"/>
            <w:shd w:fill="FFFFFF"/>
            <w:tcMar>
              <w:top w:w="100" w:type="dxa"/>
              <w:bottom w:w="100" w:type="dxa"/>
              <w:left w:w="140" w:type="dxa"/>
              <w:right w:w="140" w:type="dxa"/>
            </w:tcMar>
          </w:tcPr>
          <w:p>
            <w:pPr>
              <w:jc w:val="left"/>
            </w:pPr>
            <w:r>
              <w:rPr>
                <w:rFonts w:ascii="Arial" w:hAnsi="Arial"/>
                <w:color w:val="2D3748"/>
                <w:sz w:val="18"/>
              </w:rPr>
              <w:t>Binary {0, 1}</w:t>
            </w:r>
          </w:p>
        </w:tc>
        <w:tc>
          <w:tcPr>
            <w:tcW w:type="dxa" w:w="3600"/>
            <w:shd w:fill="FFFFFF"/>
            <w:tcMar>
              <w:top w:w="100" w:type="dxa"/>
              <w:bottom w:w="100" w:type="dxa"/>
              <w:left w:w="140" w:type="dxa"/>
              <w:right w:w="140" w:type="dxa"/>
            </w:tcMar>
          </w:tcPr>
          <w:p>
            <w:pPr>
              <w:jc w:val="left"/>
            </w:pPr>
            <w:r>
              <w:rPr>
                <w:rFonts w:ascii="Arial" w:hAnsi="Arial"/>
                <w:color w:val="2D3748"/>
                <w:sz w:val="18"/>
              </w:rPr>
              <w:t>Admin setter modifying fee without upper ceiling cap</w:t>
            </w:r>
          </w:p>
        </w:tc>
      </w:tr>
      <w:tr>
        <w:trPr>
          <w:cantSplit/>
        </w:trPr>
        <w:tc>
          <w:tcPr>
            <w:tcW w:type="dxa" w:w="864"/>
            <w:shd w:fill="F7FAFC"/>
            <w:tcMar>
              <w:top w:w="100" w:type="dxa"/>
              <w:bottom w:w="100" w:type="dxa"/>
              <w:left w:w="140" w:type="dxa"/>
              <w:right w:w="140" w:type="dxa"/>
            </w:tcMar>
          </w:tcPr>
          <w:p>
            <w:pPr>
              <w:jc w:val="center"/>
            </w:pPr>
            <w:r>
              <w:rPr>
                <w:rFonts w:ascii="Arial" w:hAnsi="Arial"/>
                <w:color w:val="2D3748"/>
                <w:sz w:val="18"/>
              </w:rPr>
              <w:t>10</w:t>
            </w:r>
          </w:p>
        </w:tc>
        <w:tc>
          <w:tcPr>
            <w:tcW w:type="dxa" w:w="2880"/>
            <w:shd w:fill="F7FAFC"/>
            <w:tcMar>
              <w:top w:w="100" w:type="dxa"/>
              <w:bottom w:w="100" w:type="dxa"/>
              <w:left w:w="140" w:type="dxa"/>
              <w:right w:w="140" w:type="dxa"/>
            </w:tcMar>
          </w:tcPr>
          <w:p>
            <w:pPr>
              <w:jc w:val="left"/>
            </w:pPr>
            <w:r>
              <w:rPr>
                <w:rFonts w:ascii="Arial" w:hAnsi="Arial"/>
                <w:color w:val="2D3748"/>
                <w:sz w:val="18"/>
              </w:rPr>
              <w:t>has_cooldown_delay</w:t>
            </w:r>
          </w:p>
        </w:tc>
        <w:tc>
          <w:tcPr>
            <w:tcW w:type="dxa" w:w="2016"/>
            <w:shd w:fill="F7FAFC"/>
            <w:tcMar>
              <w:top w:w="100" w:type="dxa"/>
              <w:bottom w:w="100" w:type="dxa"/>
              <w:left w:w="140" w:type="dxa"/>
              <w:right w:w="140" w:type="dxa"/>
            </w:tcMar>
          </w:tcPr>
          <w:p>
            <w:pPr>
              <w:jc w:val="left"/>
            </w:pPr>
            <w:r>
              <w:rPr>
                <w:rFonts w:ascii="Arial" w:hAnsi="Arial"/>
                <w:color w:val="2D3748"/>
                <w:sz w:val="18"/>
              </w:rPr>
              <w:t>Binary {0, 1}</w:t>
            </w:r>
          </w:p>
        </w:tc>
        <w:tc>
          <w:tcPr>
            <w:tcW w:type="dxa" w:w="3600"/>
            <w:shd w:fill="F7FAFC"/>
            <w:tcMar>
              <w:top w:w="100" w:type="dxa"/>
              <w:bottom w:w="100" w:type="dxa"/>
              <w:left w:w="140" w:type="dxa"/>
              <w:right w:w="140" w:type="dxa"/>
            </w:tcMar>
          </w:tcPr>
          <w:p>
            <w:pPr>
              <w:jc w:val="left"/>
            </w:pPr>
            <w:r>
              <w:rPr>
                <w:rFonts w:ascii="Arial" w:hAnsi="Arial"/>
                <w:color w:val="2D3748"/>
                <w:sz w:val="18"/>
              </w:rPr>
              <w:t>Trading cooldown timestamp or block lockup timers</w:t>
            </w:r>
          </w:p>
        </w:tc>
      </w:tr>
      <w:tr>
        <w:trPr>
          <w:cantSplit/>
        </w:trPr>
        <w:tc>
          <w:tcPr>
            <w:tcW w:type="dxa" w:w="864"/>
            <w:shd w:fill="FFFFFF"/>
            <w:tcMar>
              <w:top w:w="100" w:type="dxa"/>
              <w:bottom w:w="100" w:type="dxa"/>
              <w:left w:w="140" w:type="dxa"/>
              <w:right w:w="140" w:type="dxa"/>
            </w:tcMar>
          </w:tcPr>
          <w:p>
            <w:pPr>
              <w:jc w:val="center"/>
            </w:pPr>
            <w:r>
              <w:rPr>
                <w:rFonts w:ascii="Arial" w:hAnsi="Arial"/>
                <w:color w:val="2D3748"/>
                <w:sz w:val="18"/>
              </w:rPr>
              <w:t>11</w:t>
            </w:r>
          </w:p>
        </w:tc>
        <w:tc>
          <w:tcPr>
            <w:tcW w:type="dxa" w:w="2880"/>
            <w:shd w:fill="FFFFFF"/>
            <w:tcMar>
              <w:top w:w="100" w:type="dxa"/>
              <w:bottom w:w="100" w:type="dxa"/>
              <w:left w:w="140" w:type="dxa"/>
              <w:right w:w="140" w:type="dxa"/>
            </w:tcMar>
          </w:tcPr>
          <w:p>
            <w:pPr>
              <w:jc w:val="left"/>
            </w:pPr>
            <w:r>
              <w:rPr>
                <w:rFonts w:ascii="Arial" w:hAnsi="Arial"/>
                <w:color w:val="2D3748"/>
                <w:sz w:val="18"/>
              </w:rPr>
              <w:t>has_pausable_transfers</w:t>
            </w:r>
          </w:p>
        </w:tc>
        <w:tc>
          <w:tcPr>
            <w:tcW w:type="dxa" w:w="2016"/>
            <w:shd w:fill="FFFFFF"/>
            <w:tcMar>
              <w:top w:w="100" w:type="dxa"/>
              <w:bottom w:w="100" w:type="dxa"/>
              <w:left w:w="140" w:type="dxa"/>
              <w:right w:w="140" w:type="dxa"/>
            </w:tcMar>
          </w:tcPr>
          <w:p>
            <w:pPr>
              <w:jc w:val="left"/>
            </w:pPr>
            <w:r>
              <w:rPr>
                <w:rFonts w:ascii="Arial" w:hAnsi="Arial"/>
                <w:color w:val="2D3748"/>
                <w:sz w:val="18"/>
              </w:rPr>
              <w:t>Binary {0, 1}</w:t>
            </w:r>
          </w:p>
        </w:tc>
        <w:tc>
          <w:tcPr>
            <w:tcW w:type="dxa" w:w="3600"/>
            <w:shd w:fill="FFFFFF"/>
            <w:tcMar>
              <w:top w:w="100" w:type="dxa"/>
              <w:bottom w:w="100" w:type="dxa"/>
              <w:left w:w="140" w:type="dxa"/>
              <w:right w:w="140" w:type="dxa"/>
            </w:tcMar>
          </w:tcPr>
          <w:p>
            <w:pPr>
              <w:jc w:val="left"/>
            </w:pPr>
            <w:r>
              <w:rPr>
                <w:rFonts w:ascii="Arial" w:hAnsi="Arial"/>
                <w:color w:val="2D3748"/>
                <w:sz w:val="18"/>
              </w:rPr>
              <w:t>Owner-gated transfer pause or halt flag</w:t>
            </w:r>
          </w:p>
        </w:tc>
      </w:tr>
      <w:tr>
        <w:trPr>
          <w:cantSplit/>
        </w:trPr>
        <w:tc>
          <w:tcPr>
            <w:tcW w:type="dxa" w:w="864"/>
            <w:shd w:fill="F7FAFC"/>
            <w:tcMar>
              <w:top w:w="100" w:type="dxa"/>
              <w:bottom w:w="100" w:type="dxa"/>
              <w:left w:w="140" w:type="dxa"/>
              <w:right w:w="140" w:type="dxa"/>
            </w:tcMar>
          </w:tcPr>
          <w:p>
            <w:pPr>
              <w:jc w:val="center"/>
            </w:pPr>
            <w:r>
              <w:rPr>
                <w:rFonts w:ascii="Arial" w:hAnsi="Arial"/>
                <w:color w:val="2D3748"/>
                <w:sz w:val="18"/>
              </w:rPr>
              <w:t>12</w:t>
            </w:r>
          </w:p>
        </w:tc>
        <w:tc>
          <w:tcPr>
            <w:tcW w:type="dxa" w:w="2880"/>
            <w:shd w:fill="F7FAFC"/>
            <w:tcMar>
              <w:top w:w="100" w:type="dxa"/>
              <w:bottom w:w="100" w:type="dxa"/>
              <w:left w:w="140" w:type="dxa"/>
              <w:right w:w="140" w:type="dxa"/>
            </w:tcMar>
          </w:tcPr>
          <w:p>
            <w:pPr>
              <w:jc w:val="left"/>
            </w:pPr>
            <w:r>
              <w:rPr>
                <w:rFonts w:ascii="Arial" w:hAnsi="Arial"/>
                <w:color w:val="2D3748"/>
                <w:sz w:val="18"/>
              </w:rPr>
              <w:t>has_max_tx_wallet_limit</w:t>
            </w:r>
          </w:p>
        </w:tc>
        <w:tc>
          <w:tcPr>
            <w:tcW w:type="dxa" w:w="2016"/>
            <w:shd w:fill="F7FAFC"/>
            <w:tcMar>
              <w:top w:w="100" w:type="dxa"/>
              <w:bottom w:w="100" w:type="dxa"/>
              <w:left w:w="140" w:type="dxa"/>
              <w:right w:w="140" w:type="dxa"/>
            </w:tcMar>
          </w:tcPr>
          <w:p>
            <w:pPr>
              <w:jc w:val="left"/>
            </w:pPr>
            <w:r>
              <w:rPr>
                <w:rFonts w:ascii="Arial" w:hAnsi="Arial"/>
                <w:color w:val="2D3748"/>
                <w:sz w:val="18"/>
              </w:rPr>
              <w:t>Binary {0, 1}</w:t>
            </w:r>
          </w:p>
        </w:tc>
        <w:tc>
          <w:tcPr>
            <w:tcW w:type="dxa" w:w="3600"/>
            <w:shd w:fill="F7FAFC"/>
            <w:tcMar>
              <w:top w:w="100" w:type="dxa"/>
              <w:bottom w:w="100" w:type="dxa"/>
              <w:left w:w="140" w:type="dxa"/>
              <w:right w:w="140" w:type="dxa"/>
            </w:tcMar>
          </w:tcPr>
          <w:p>
            <w:pPr>
              <w:jc w:val="left"/>
            </w:pPr>
            <w:r>
              <w:rPr>
                <w:rFonts w:ascii="Arial" w:hAnsi="Arial"/>
                <w:color w:val="2D3748"/>
                <w:sz w:val="18"/>
              </w:rPr>
              <w:t>Microscopic maximum transaction or wallet limit</w:t>
            </w:r>
          </w:p>
        </w:tc>
      </w:tr>
      <w:tr>
        <w:trPr>
          <w:cantSplit/>
        </w:trPr>
        <w:tc>
          <w:tcPr>
            <w:tcW w:type="dxa" w:w="864"/>
            <w:shd w:fill="FFFFFF"/>
            <w:tcMar>
              <w:top w:w="100" w:type="dxa"/>
              <w:bottom w:w="100" w:type="dxa"/>
              <w:left w:w="140" w:type="dxa"/>
              <w:right w:w="140" w:type="dxa"/>
            </w:tcMar>
          </w:tcPr>
          <w:p>
            <w:pPr>
              <w:jc w:val="center"/>
            </w:pPr>
            <w:r>
              <w:rPr>
                <w:rFonts w:ascii="Arial" w:hAnsi="Arial"/>
                <w:color w:val="2D3748"/>
                <w:sz w:val="18"/>
              </w:rPr>
              <w:t>13</w:t>
            </w:r>
          </w:p>
        </w:tc>
        <w:tc>
          <w:tcPr>
            <w:tcW w:type="dxa" w:w="2880"/>
            <w:shd w:fill="FFFFFF"/>
            <w:tcMar>
              <w:top w:w="100" w:type="dxa"/>
              <w:bottom w:w="100" w:type="dxa"/>
              <w:left w:w="140" w:type="dxa"/>
              <w:right w:w="140" w:type="dxa"/>
            </w:tcMar>
          </w:tcPr>
          <w:p>
            <w:pPr>
              <w:jc w:val="left"/>
            </w:pPr>
            <w:r>
              <w:rPr>
                <w:rFonts w:ascii="Arial" w:hAnsi="Arial"/>
                <w:color w:val="2D3748"/>
                <w:sz w:val="18"/>
              </w:rPr>
              <w:t>has_hidden_mint</w:t>
            </w:r>
          </w:p>
        </w:tc>
        <w:tc>
          <w:tcPr>
            <w:tcW w:type="dxa" w:w="2016"/>
            <w:shd w:fill="FFFFFF"/>
            <w:tcMar>
              <w:top w:w="100" w:type="dxa"/>
              <w:bottom w:w="100" w:type="dxa"/>
              <w:left w:w="140" w:type="dxa"/>
              <w:right w:w="140" w:type="dxa"/>
            </w:tcMar>
          </w:tcPr>
          <w:p>
            <w:pPr>
              <w:jc w:val="left"/>
            </w:pPr>
            <w:r>
              <w:rPr>
                <w:rFonts w:ascii="Arial" w:hAnsi="Arial"/>
                <w:color w:val="2D3748"/>
                <w:sz w:val="18"/>
              </w:rPr>
              <w:t>Binary {0, 1}</w:t>
            </w:r>
          </w:p>
        </w:tc>
        <w:tc>
          <w:tcPr>
            <w:tcW w:type="dxa" w:w="3600"/>
            <w:shd w:fill="FFFFFF"/>
            <w:tcMar>
              <w:top w:w="100" w:type="dxa"/>
              <w:bottom w:w="100" w:type="dxa"/>
              <w:left w:w="140" w:type="dxa"/>
              <w:right w:w="140" w:type="dxa"/>
            </w:tcMar>
          </w:tcPr>
          <w:p>
            <w:pPr>
              <w:jc w:val="left"/>
            </w:pPr>
            <w:r>
              <w:rPr>
                <w:rFonts w:ascii="Arial" w:hAnsi="Arial"/>
                <w:color w:val="2D3748"/>
                <w:sz w:val="18"/>
              </w:rPr>
              <w:t>Owner minting function declared outside constructor</w:t>
            </w:r>
          </w:p>
        </w:tc>
      </w:tr>
      <w:tr>
        <w:trPr>
          <w:cantSplit/>
        </w:trPr>
        <w:tc>
          <w:tcPr>
            <w:tcW w:type="dxa" w:w="864"/>
            <w:shd w:fill="F7FAFC"/>
            <w:tcMar>
              <w:top w:w="100" w:type="dxa"/>
              <w:bottom w:w="100" w:type="dxa"/>
              <w:left w:w="140" w:type="dxa"/>
              <w:right w:w="140" w:type="dxa"/>
            </w:tcMar>
          </w:tcPr>
          <w:p>
            <w:pPr>
              <w:jc w:val="center"/>
            </w:pPr>
            <w:r>
              <w:rPr>
                <w:rFonts w:ascii="Arial" w:hAnsi="Arial"/>
                <w:color w:val="2D3748"/>
                <w:sz w:val="18"/>
              </w:rPr>
              <w:t>14</w:t>
            </w:r>
          </w:p>
        </w:tc>
        <w:tc>
          <w:tcPr>
            <w:tcW w:type="dxa" w:w="2880"/>
            <w:shd w:fill="F7FAFC"/>
            <w:tcMar>
              <w:top w:w="100" w:type="dxa"/>
              <w:bottom w:w="100" w:type="dxa"/>
              <w:left w:w="140" w:type="dxa"/>
              <w:right w:w="140" w:type="dxa"/>
            </w:tcMar>
          </w:tcPr>
          <w:p>
            <w:pPr>
              <w:jc w:val="left"/>
            </w:pPr>
            <w:r>
              <w:rPr>
                <w:rFonts w:ascii="Arial" w:hAnsi="Arial"/>
                <w:color w:val="2D3748"/>
                <w:sz w:val="18"/>
              </w:rPr>
              <w:t>has_inline_assembly</w:t>
            </w:r>
          </w:p>
        </w:tc>
        <w:tc>
          <w:tcPr>
            <w:tcW w:type="dxa" w:w="2016"/>
            <w:shd w:fill="F7FAFC"/>
            <w:tcMar>
              <w:top w:w="100" w:type="dxa"/>
              <w:bottom w:w="100" w:type="dxa"/>
              <w:left w:w="140" w:type="dxa"/>
              <w:right w:w="140" w:type="dxa"/>
            </w:tcMar>
          </w:tcPr>
          <w:p>
            <w:pPr>
              <w:jc w:val="left"/>
            </w:pPr>
            <w:r>
              <w:rPr>
                <w:rFonts w:ascii="Arial" w:hAnsi="Arial"/>
                <w:color w:val="2D3748"/>
                <w:sz w:val="18"/>
              </w:rPr>
              <w:t>Binary {0, 1}</w:t>
            </w:r>
          </w:p>
        </w:tc>
        <w:tc>
          <w:tcPr>
            <w:tcW w:type="dxa" w:w="3600"/>
            <w:shd w:fill="F7FAFC"/>
            <w:tcMar>
              <w:top w:w="100" w:type="dxa"/>
              <w:bottom w:w="100" w:type="dxa"/>
              <w:left w:w="140" w:type="dxa"/>
              <w:right w:w="140" w:type="dxa"/>
            </w:tcMar>
          </w:tcPr>
          <w:p>
            <w:pPr>
              <w:jc w:val="left"/>
            </w:pPr>
            <w:r>
              <w:rPr>
                <w:rFonts w:ascii="Arial" w:hAnsi="Arial"/>
                <w:color w:val="2D3748"/>
                <w:sz w:val="18"/>
              </w:rPr>
              <w:t>Presence of inline EVM assembly or delegatecall</w:t>
            </w:r>
          </w:p>
        </w:tc>
      </w:tr>
      <w:tr>
        <w:trPr>
          <w:cantSplit/>
        </w:trPr>
        <w:tc>
          <w:tcPr>
            <w:tcW w:type="dxa" w:w="864"/>
            <w:shd w:fill="FFFFFF"/>
            <w:tcMar>
              <w:top w:w="100" w:type="dxa"/>
              <w:bottom w:w="100" w:type="dxa"/>
              <w:left w:w="140" w:type="dxa"/>
              <w:right w:w="140" w:type="dxa"/>
            </w:tcMar>
          </w:tcPr>
          <w:p>
            <w:pPr>
              <w:jc w:val="center"/>
            </w:pPr>
            <w:r>
              <w:rPr>
                <w:rFonts w:ascii="Arial" w:hAnsi="Arial"/>
                <w:color w:val="2D3748"/>
                <w:sz w:val="18"/>
              </w:rPr>
              <w:t>15</w:t>
            </w:r>
          </w:p>
        </w:tc>
        <w:tc>
          <w:tcPr>
            <w:tcW w:type="dxa" w:w="2880"/>
            <w:shd w:fill="FFFFFF"/>
            <w:tcMar>
              <w:top w:w="100" w:type="dxa"/>
              <w:bottom w:w="100" w:type="dxa"/>
              <w:left w:w="140" w:type="dxa"/>
              <w:right w:w="140" w:type="dxa"/>
            </w:tcMar>
          </w:tcPr>
          <w:p>
            <w:pPr>
              <w:jc w:val="left"/>
            </w:pPr>
            <w:r>
              <w:rPr>
                <w:rFonts w:ascii="Arial" w:hAnsi="Arial"/>
                <w:color w:val="2D3748"/>
                <w:sz w:val="18"/>
              </w:rPr>
              <w:t>has_external_transfer_call</w:t>
            </w:r>
          </w:p>
        </w:tc>
        <w:tc>
          <w:tcPr>
            <w:tcW w:type="dxa" w:w="2016"/>
            <w:shd w:fill="FFFFFF"/>
            <w:tcMar>
              <w:top w:w="100" w:type="dxa"/>
              <w:bottom w:w="100" w:type="dxa"/>
              <w:left w:w="140" w:type="dxa"/>
              <w:right w:w="140" w:type="dxa"/>
            </w:tcMar>
          </w:tcPr>
          <w:p>
            <w:pPr>
              <w:jc w:val="left"/>
            </w:pPr>
            <w:r>
              <w:rPr>
                <w:rFonts w:ascii="Arial" w:hAnsi="Arial"/>
                <w:color w:val="2D3748"/>
                <w:sz w:val="18"/>
              </w:rPr>
              <w:t>Binary {0, 1}</w:t>
            </w:r>
          </w:p>
        </w:tc>
        <w:tc>
          <w:tcPr>
            <w:tcW w:type="dxa" w:w="3600"/>
            <w:shd w:fill="FFFFFF"/>
            <w:tcMar>
              <w:top w:w="100" w:type="dxa"/>
              <w:bottom w:w="100" w:type="dxa"/>
              <w:left w:w="140" w:type="dxa"/>
              <w:right w:w="140" w:type="dxa"/>
            </w:tcMar>
          </w:tcPr>
          <w:p>
            <w:pPr>
              <w:jc w:val="left"/>
            </w:pPr>
            <w:r>
              <w:rPr>
                <w:rFonts w:ascii="Arial" w:hAnsi="Arial"/>
                <w:color w:val="2D3748"/>
                <w:sz w:val="18"/>
              </w:rPr>
              <w:t>External contract or oracle call in transfer routine</w:t>
            </w:r>
          </w:p>
        </w:tc>
      </w:tr>
      <w:tr>
        <w:trPr>
          <w:cantSplit/>
        </w:trPr>
        <w:tc>
          <w:tcPr>
            <w:tcW w:type="dxa" w:w="864"/>
            <w:shd w:fill="F7FAFC"/>
            <w:tcMar>
              <w:top w:w="100" w:type="dxa"/>
              <w:bottom w:w="100" w:type="dxa"/>
              <w:left w:w="140" w:type="dxa"/>
              <w:right w:w="140" w:type="dxa"/>
            </w:tcMar>
          </w:tcPr>
          <w:p>
            <w:pPr>
              <w:jc w:val="center"/>
            </w:pPr>
            <w:r>
              <w:rPr>
                <w:rFonts w:ascii="Arial" w:hAnsi="Arial"/>
                <w:color w:val="2D3748"/>
                <w:sz w:val="18"/>
              </w:rPr>
              <w:t>16</w:t>
            </w:r>
          </w:p>
        </w:tc>
        <w:tc>
          <w:tcPr>
            <w:tcW w:type="dxa" w:w="2880"/>
            <w:shd w:fill="F7FAFC"/>
            <w:tcMar>
              <w:top w:w="100" w:type="dxa"/>
              <w:bottom w:w="100" w:type="dxa"/>
              <w:left w:w="140" w:type="dxa"/>
              <w:right w:w="140" w:type="dxa"/>
            </w:tcMar>
          </w:tcPr>
          <w:p>
            <w:pPr>
              <w:jc w:val="left"/>
            </w:pPr>
            <w:r>
              <w:rPr>
                <w:rFonts w:ascii="Arial" w:hAnsi="Arial"/>
                <w:color w:val="2D3748"/>
                <w:sz w:val="18"/>
              </w:rPr>
              <w:t>num_positive_indicators</w:t>
            </w:r>
          </w:p>
        </w:tc>
        <w:tc>
          <w:tcPr>
            <w:tcW w:type="dxa" w:w="2016"/>
            <w:shd w:fill="F7FAFC"/>
            <w:tcMar>
              <w:top w:w="100" w:type="dxa"/>
              <w:bottom w:w="100" w:type="dxa"/>
              <w:left w:w="140" w:type="dxa"/>
              <w:right w:w="140" w:type="dxa"/>
            </w:tcMar>
          </w:tcPr>
          <w:p>
            <w:pPr>
              <w:jc w:val="left"/>
            </w:pPr>
            <w:r>
              <w:rPr>
                <w:rFonts w:ascii="Arial" w:hAnsi="Arial"/>
                <w:color w:val="2D3748"/>
                <w:sz w:val="18"/>
              </w:rPr>
              <w:t>Continuous (int)</w:t>
            </w:r>
          </w:p>
        </w:tc>
        <w:tc>
          <w:tcPr>
            <w:tcW w:type="dxa" w:w="3600"/>
            <w:shd w:fill="F7FAFC"/>
            <w:tcMar>
              <w:top w:w="100" w:type="dxa"/>
              <w:bottom w:w="100" w:type="dxa"/>
              <w:left w:w="140" w:type="dxa"/>
              <w:right w:w="140" w:type="dxa"/>
            </w:tcMar>
          </w:tcPr>
          <w:p>
            <w:pPr>
              <w:jc w:val="left"/>
            </w:pPr>
            <w:r>
              <w:rPr>
                <w:rFonts w:ascii="Arial" w:hAnsi="Arial"/>
                <w:color w:val="2D3748"/>
                <w:sz w:val="18"/>
              </w:rPr>
              <w:t>Count of verified positive security indicators</w:t>
            </w:r>
          </w:p>
        </w:tc>
      </w:tr>
      <w:tr>
        <w:trPr>
          <w:cantSplit/>
        </w:trPr>
        <w:tc>
          <w:tcPr>
            <w:tcW w:type="dxa" w:w="864"/>
            <w:shd w:fill="FFFFFF"/>
            <w:tcMar>
              <w:top w:w="100" w:type="dxa"/>
              <w:bottom w:w="100" w:type="dxa"/>
              <w:left w:w="140" w:type="dxa"/>
              <w:right w:w="140" w:type="dxa"/>
            </w:tcMar>
          </w:tcPr>
          <w:p>
            <w:pPr>
              <w:jc w:val="center"/>
            </w:pPr>
            <w:r>
              <w:rPr>
                <w:rFonts w:ascii="Arial" w:hAnsi="Arial"/>
                <w:color w:val="2D3748"/>
                <w:sz w:val="18"/>
              </w:rPr>
              <w:t>17</w:t>
            </w:r>
          </w:p>
        </w:tc>
        <w:tc>
          <w:tcPr>
            <w:tcW w:type="dxa" w:w="2880"/>
            <w:shd w:fill="FFFFFF"/>
            <w:tcMar>
              <w:top w:w="100" w:type="dxa"/>
              <w:bottom w:w="100" w:type="dxa"/>
              <w:left w:w="140" w:type="dxa"/>
              <w:right w:w="140" w:type="dxa"/>
            </w:tcMar>
          </w:tcPr>
          <w:p>
            <w:pPr>
              <w:jc w:val="left"/>
            </w:pPr>
            <w:r>
              <w:rPr>
                <w:rFonts w:ascii="Arial" w:hAnsi="Arial"/>
                <w:color w:val="2D3748"/>
                <w:sz w:val="18"/>
              </w:rPr>
              <w:t>has_openzeppelin_imports</w:t>
            </w:r>
          </w:p>
        </w:tc>
        <w:tc>
          <w:tcPr>
            <w:tcW w:type="dxa" w:w="2016"/>
            <w:shd w:fill="FFFFFF"/>
            <w:tcMar>
              <w:top w:w="100" w:type="dxa"/>
              <w:bottom w:w="100" w:type="dxa"/>
              <w:left w:w="140" w:type="dxa"/>
              <w:right w:w="140" w:type="dxa"/>
            </w:tcMar>
          </w:tcPr>
          <w:p>
            <w:pPr>
              <w:jc w:val="left"/>
            </w:pPr>
            <w:r>
              <w:rPr>
                <w:rFonts w:ascii="Arial" w:hAnsi="Arial"/>
                <w:color w:val="2D3748"/>
                <w:sz w:val="18"/>
              </w:rPr>
              <w:t>Binary {0, 1}</w:t>
            </w:r>
          </w:p>
        </w:tc>
        <w:tc>
          <w:tcPr>
            <w:tcW w:type="dxa" w:w="3600"/>
            <w:shd w:fill="FFFFFF"/>
            <w:tcMar>
              <w:top w:w="100" w:type="dxa"/>
              <w:bottom w:w="100" w:type="dxa"/>
              <w:left w:w="140" w:type="dxa"/>
              <w:right w:w="140" w:type="dxa"/>
            </w:tcMar>
          </w:tcPr>
          <w:p>
            <w:pPr>
              <w:jc w:val="left"/>
            </w:pPr>
            <w:r>
              <w:rPr>
                <w:rFonts w:ascii="Arial" w:hAnsi="Arial"/>
                <w:color w:val="2D3748"/>
                <w:sz w:val="18"/>
              </w:rPr>
              <w:t>Contract imports standard OpenZeppelin contracts</w:t>
            </w:r>
          </w:p>
        </w:tc>
      </w:tr>
      <w:tr>
        <w:trPr>
          <w:cantSplit/>
        </w:trPr>
        <w:tc>
          <w:tcPr>
            <w:tcW w:type="dxa" w:w="864"/>
            <w:shd w:fill="F7FAFC"/>
            <w:tcMar>
              <w:top w:w="100" w:type="dxa"/>
              <w:bottom w:w="100" w:type="dxa"/>
              <w:left w:w="140" w:type="dxa"/>
              <w:right w:w="140" w:type="dxa"/>
            </w:tcMar>
          </w:tcPr>
          <w:p>
            <w:pPr>
              <w:jc w:val="center"/>
            </w:pPr>
            <w:r>
              <w:rPr>
                <w:rFonts w:ascii="Arial" w:hAnsi="Arial"/>
                <w:color w:val="2D3748"/>
                <w:sz w:val="18"/>
              </w:rPr>
              <w:t>18</w:t>
            </w:r>
          </w:p>
        </w:tc>
        <w:tc>
          <w:tcPr>
            <w:tcW w:type="dxa" w:w="2880"/>
            <w:shd w:fill="F7FAFC"/>
            <w:tcMar>
              <w:top w:w="100" w:type="dxa"/>
              <w:bottom w:w="100" w:type="dxa"/>
              <w:left w:w="140" w:type="dxa"/>
              <w:right w:w="140" w:type="dxa"/>
            </w:tcMar>
          </w:tcPr>
          <w:p>
            <w:pPr>
              <w:jc w:val="left"/>
            </w:pPr>
            <w:r>
              <w:rPr>
                <w:rFonts w:ascii="Arial" w:hAnsi="Arial"/>
                <w:color w:val="2D3748"/>
                <w:sz w:val="18"/>
              </w:rPr>
              <w:t>has_renounce_ownership</w:t>
            </w:r>
          </w:p>
        </w:tc>
        <w:tc>
          <w:tcPr>
            <w:tcW w:type="dxa" w:w="2016"/>
            <w:shd w:fill="F7FAFC"/>
            <w:tcMar>
              <w:top w:w="100" w:type="dxa"/>
              <w:bottom w:w="100" w:type="dxa"/>
              <w:left w:w="140" w:type="dxa"/>
              <w:right w:w="140" w:type="dxa"/>
            </w:tcMar>
          </w:tcPr>
          <w:p>
            <w:pPr>
              <w:jc w:val="left"/>
            </w:pPr>
            <w:r>
              <w:rPr>
                <w:rFonts w:ascii="Arial" w:hAnsi="Arial"/>
                <w:color w:val="2D3748"/>
                <w:sz w:val="18"/>
              </w:rPr>
              <w:t>Binary {0, 1}</w:t>
            </w:r>
          </w:p>
        </w:tc>
        <w:tc>
          <w:tcPr>
            <w:tcW w:type="dxa" w:w="3600"/>
            <w:shd w:fill="F7FAFC"/>
            <w:tcMar>
              <w:top w:w="100" w:type="dxa"/>
              <w:bottom w:w="100" w:type="dxa"/>
              <w:left w:w="140" w:type="dxa"/>
              <w:right w:w="140" w:type="dxa"/>
            </w:tcMar>
          </w:tcPr>
          <w:p>
            <w:pPr>
              <w:jc w:val="left"/>
            </w:pPr>
            <w:r>
              <w:rPr>
                <w:rFonts w:ascii="Arial" w:hAnsi="Arial"/>
                <w:color w:val="2D3748"/>
                <w:sz w:val="18"/>
              </w:rPr>
              <w:t>Contract provides renounceOwnership() function</w:t>
            </w:r>
          </w:p>
        </w:tc>
      </w:tr>
      <w:tr>
        <w:trPr>
          <w:cantSplit/>
        </w:trPr>
        <w:tc>
          <w:tcPr>
            <w:tcW w:type="dxa" w:w="864"/>
            <w:shd w:fill="FFFFFF"/>
            <w:tcMar>
              <w:top w:w="100" w:type="dxa"/>
              <w:bottom w:w="100" w:type="dxa"/>
              <w:left w:w="140" w:type="dxa"/>
              <w:right w:w="140" w:type="dxa"/>
            </w:tcMar>
          </w:tcPr>
          <w:p>
            <w:pPr>
              <w:jc w:val="center"/>
            </w:pPr>
            <w:r>
              <w:rPr>
                <w:rFonts w:ascii="Arial" w:hAnsi="Arial"/>
                <w:color w:val="2D3748"/>
                <w:sz w:val="18"/>
              </w:rPr>
              <w:t>19</w:t>
            </w:r>
          </w:p>
        </w:tc>
        <w:tc>
          <w:tcPr>
            <w:tcW w:type="dxa" w:w="2880"/>
            <w:shd w:fill="FFFFFF"/>
            <w:tcMar>
              <w:top w:w="100" w:type="dxa"/>
              <w:bottom w:w="100" w:type="dxa"/>
              <w:left w:w="140" w:type="dxa"/>
              <w:right w:w="140" w:type="dxa"/>
            </w:tcMar>
          </w:tcPr>
          <w:p>
            <w:pPr>
              <w:jc w:val="left"/>
            </w:pPr>
            <w:r>
              <w:rPr>
                <w:rFonts w:ascii="Arial" w:hAnsi="Arial"/>
                <w:color w:val="2D3748"/>
                <w:sz w:val="18"/>
              </w:rPr>
              <w:t>num_total_findings</w:t>
            </w:r>
          </w:p>
        </w:tc>
        <w:tc>
          <w:tcPr>
            <w:tcW w:type="dxa" w:w="2016"/>
            <w:shd w:fill="FFFFFF"/>
            <w:tcMar>
              <w:top w:w="100" w:type="dxa"/>
              <w:bottom w:w="100" w:type="dxa"/>
              <w:left w:w="140" w:type="dxa"/>
              <w:right w:w="140" w:type="dxa"/>
            </w:tcMar>
          </w:tcPr>
          <w:p>
            <w:pPr>
              <w:jc w:val="left"/>
            </w:pPr>
            <w:r>
              <w:rPr>
                <w:rFonts w:ascii="Arial" w:hAnsi="Arial"/>
                <w:color w:val="2D3748"/>
                <w:sz w:val="18"/>
              </w:rPr>
              <w:t>Continuous (int)</w:t>
            </w:r>
          </w:p>
        </w:tc>
        <w:tc>
          <w:tcPr>
            <w:tcW w:type="dxa" w:w="3600"/>
            <w:shd w:fill="FFFFFF"/>
            <w:tcMar>
              <w:top w:w="100" w:type="dxa"/>
              <w:bottom w:w="100" w:type="dxa"/>
              <w:left w:w="140" w:type="dxa"/>
              <w:right w:w="140" w:type="dxa"/>
            </w:tcMar>
          </w:tcPr>
          <w:p>
            <w:pPr>
              <w:jc w:val="left"/>
            </w:pPr>
            <w:r>
              <w:rPr>
                <w:rFonts w:ascii="Arial" w:hAnsi="Arial"/>
                <w:color w:val="2D3748"/>
                <w:sz w:val="18"/>
              </w:rPr>
              <w:t>Total count of suspicious static analysis findings</w:t>
            </w:r>
          </w:p>
        </w:tc>
      </w:tr>
    </w:tbl>
    <w:p>
      <w:pPr>
        <w:pStyle w:val="Heading2"/>
        <w:keepNext/>
        <w:spacing w:before="280" w:after="120"/>
      </w:pPr>
      <w:r>
        <w:rPr>
          <w:rFonts w:ascii="Arial" w:hAnsi="Arial"/>
          <w:b/>
          <w:color w:val="2B6CB0"/>
          <w:sz w:val="27"/>
        </w:rPr>
        <w:t>3.3 Machine Learning Classification Algorithms</w:t>
      </w:r>
    </w:p>
    <w:p>
      <w:pPr>
        <w:spacing w:before="0" w:after="120" w:line="288" w:lineRule="auto"/>
      </w:pPr>
      <w:r>
        <w:rPr>
          <w:rFonts w:ascii="Arial" w:hAnsi="Arial"/>
          <w:color w:val="2D3748"/>
          <w:sz w:val="21"/>
        </w:rPr>
        <w:t>The machine learning subsystem utilizes two complementary classifiers from scikit-learn:</w:t>
      </w:r>
    </w:p>
    <w:p>
      <w:pPr>
        <w:pStyle w:val="ListBullet"/>
        <w:spacing w:before="0" w:after="60" w:line="276" w:lineRule="auto"/>
      </w:pPr>
      <w:r>
        <w:rPr>
          <w:rFonts w:ascii="Arial" w:hAnsi="Arial"/>
          <w:b/>
          <w:color w:val="1A365D"/>
          <w:sz w:val="20"/>
        </w:rPr>
        <w:t xml:space="preserve">1. Random Forest Classifier: </w:t>
      </w:r>
      <w:r>
        <w:rPr>
          <w:rFonts w:ascii="Arial" w:hAnsi="Arial"/>
          <w:color w:val="2D3748"/>
          <w:sz w:val="20"/>
        </w:rPr>
        <w:t>Constructs an ensemble of B=100 randomized decision trees using Gini impurity splitting: I_G(p) = 1 - sum(p_i^2). Each tree is trained on a bootstrap sample of the training set. Final honeypot probability is computed via majority ensemble voting: P(Honeypot|X) = (1/B) * sum(P_b(Honeypot|X)). Random Forest operates directly on unscaled features, preserving non-linear interactions.</w:t>
      </w:r>
    </w:p>
    <w:p>
      <w:pPr>
        <w:pStyle w:val="ListBullet"/>
        <w:spacing w:before="0" w:after="60" w:line="276" w:lineRule="auto"/>
      </w:pPr>
      <w:r>
        <w:rPr>
          <w:rFonts w:ascii="Arial" w:hAnsi="Arial"/>
          <w:b/>
          <w:color w:val="1A365D"/>
          <w:sz w:val="20"/>
        </w:rPr>
        <w:t xml:space="preserve">2. Logistic Regression Classifier: </w:t>
      </w:r>
      <w:r>
        <w:rPr>
          <w:rFonts w:ascii="Arial" w:hAnsi="Arial"/>
          <w:color w:val="2D3748"/>
          <w:sz w:val="20"/>
        </w:rPr>
        <w:t>Fits an L2-regularized logistic regression model on standardized feature vectors X_scaled = (X - mu) / sigma. The prediction probability is modeled via the logistic sigmoid function: P(Honeypot|X) = 1 / (1 + exp(-(beta_0 + beta^T X_scaled))). Provides linear coefficient interpretability.</w:t>
      </w:r>
    </w:p>
    <w:p>
      <w:pPr>
        <w:pStyle w:val="Heading2"/>
        <w:keepNext/>
        <w:spacing w:before="280" w:after="120"/>
      </w:pPr>
      <w:r>
        <w:rPr>
          <w:rFonts w:ascii="Arial" w:hAnsi="Arial"/>
          <w:b/>
          <w:color w:val="2B6CB0"/>
          <w:sz w:val="27"/>
        </w:rPr>
        <w:t>3.4 Explainable Risk-Scoring Algorithm</w:t>
      </w:r>
    </w:p>
    <w:p>
      <w:pPr>
        <w:spacing w:before="0" w:after="120" w:line="288" w:lineRule="auto"/>
      </w:pPr>
      <w:r>
        <w:rPr>
          <w:rFonts w:ascii="Arial" w:hAnsi="Arial"/>
          <w:color w:val="2D3748"/>
          <w:sz w:val="21"/>
        </w:rPr>
        <w:t>The risk scoring engine (`src/risk_scorer.py`) calculates a normalized, explainable risk score S in [0, 100] using the following formal mathematical formulation:</w:t>
      </w:r>
    </w:p>
    <w:p>
      <w:pPr>
        <w:spacing w:before="120" w:after="40"/>
      </w:pPr>
      <w:r>
        <w:rPr>
          <w:rFonts w:ascii="Arial" w:hAnsi="Arial"/>
          <w:b/>
          <w:color w:val="2B6CB0"/>
          <w:sz w:val="19"/>
        </w:rPr>
        <w:t>Code Listing: Risk-Scoring Formula with Critical Security Guardrails</w:t>
      </w:r>
    </w:p>
    <w:tbl>
      <w:tblPr>
        <w:tblW w:type="auto" w:w="0"/>
        <w:jc w:val="center"/>
        <w:tblLayout w:type="fixed"/>
        <w:tblLook w:firstColumn="1" w:firstRow="1" w:lastColumn="0" w:lastRow="0" w:noHBand="0" w:noVBand="1" w:val="04A0"/>
      </w:tblPr>
      <w:tblGrid>
        <w:gridCol w:w="9360"/>
      </w:tblGrid>
      <w:tr>
        <w:tc>
          <w:tcPr>
            <w:tcW w:type="dxa" w:w="9360"/>
            <w:shd w:fill="2D3748"/>
            <w:tcMar>
              <w:top w:w="140" w:type="dxa"/>
              <w:bottom w:w="140" w:type="dxa"/>
              <w:left w:w="180" w:type="dxa"/>
              <w:right w:w="180" w:type="dxa"/>
            </w:tcMar>
          </w:tcPr>
          <w:p>
            <w:pPr>
              <w:spacing w:before="0" w:after="0" w:line="252" w:lineRule="auto"/>
            </w:pPr>
            <w:r>
              <w:rPr>
                <w:rFonts w:ascii="Consolas" w:hAnsi="Consolas"/>
                <w:color w:val="E2E8F0"/>
                <w:sz w:val="18"/>
              </w:rPr>
              <w:t># Mathematical Risk Scoring Formulation</w:t>
              <w:br/>
              <w:t>Base_Score = (40 * N_critical) + (25 * N_high) + (15 * N_medium) + (5 * N_low)</w:t>
              <w:br/>
              <w:t>Deduction  = min(15, 5 * N_positive_indicators)</w:t>
              <w:br/>
              <w:t>Gross_Net  = Base_Score - Deduction</w:t>
              <w:br/>
              <w:br/>
              <w:t># Security Guardrail: Critical Finding Security Floor</w:t>
              <w:br/>
              <w:t>if N_critical &gt; 0:</w:t>
              <w:br/>
              <w:t xml:space="preserve">    Final_Score = clamp(50, 100, Gross_Net)</w:t>
              <w:br/>
              <w:t>else:</w:t>
              <w:br/>
              <w:t xml:space="preserve">    Final_Score = clamp(0, 100, Gross_Net)</w:t>
              <w:br/>
              <w:br/>
              <w:t># Risk Bands Classification:</w:t>
              <w:br/>
              <w:t xml:space="preserve">  0  &lt;= Score &lt;= 24  ==&gt; LOW RISK</w:t>
              <w:br/>
              <w:t xml:space="preserve">  25 &lt;= Score &lt;= 49  ==&gt; MODERATE RISK</w:t>
              <w:br/>
              <w:t xml:space="preserve">  50 &lt;= Score &lt;= 74  ==&gt; HIGH RISK</w:t>
              <w:br/>
              <w:t xml:space="preserve">  75 &lt;= Score &lt;= 100 ==&gt; CRITICAL RISK</w:t>
            </w:r>
          </w:p>
        </w:tc>
      </w:tr>
    </w:tbl>
    <w:p>
      <w:pPr>
        <w:spacing w:before="0" w:after="120"/>
      </w:pPr>
    </w:p>
    <w:p>
      <w:r>
        <w:br w:type="page"/>
      </w:r>
    </w:p>
    <w:p>
      <w:pPr>
        <w:pStyle w:val="Heading1"/>
        <w:keepNext/>
        <w:spacing w:before="400" w:after="160"/>
      </w:pPr>
      <w:r>
        <w:rPr>
          <w:rFonts w:ascii="Arial" w:hAnsi="Arial"/>
          <w:b/>
          <w:color w:val="1A365D"/>
          <w:sz w:val="34"/>
        </w:rPr>
        <w:t>4.0 Implementation</w:t>
      </w:r>
    </w:p>
    <w:p>
      <w:pPr>
        <w:pStyle w:val="Heading2"/>
        <w:keepNext/>
        <w:spacing w:before="280" w:after="120"/>
      </w:pPr>
      <w:r>
        <w:rPr>
          <w:rFonts w:ascii="Arial" w:hAnsi="Arial"/>
          <w:b/>
          <w:color w:val="2B6CB0"/>
          <w:sz w:val="27"/>
        </w:rPr>
        <w:t>4.1 Implementation Environment &amp; Tech Stack</w:t>
      </w:r>
    </w:p>
    <w:p>
      <w:pPr>
        <w:spacing w:before="0" w:after="120" w:line="288" w:lineRule="auto"/>
      </w:pPr>
      <w:r>
        <w:rPr>
          <w:rFonts w:ascii="Arial" w:hAnsi="Arial"/>
          <w:color w:val="2D3748"/>
          <w:sz w:val="21"/>
        </w:rPr>
        <w:t>The project is implemented using modern, production-grade programming languages, frameworks, and libraries. The technological stack is structured into three primary tiers: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shd w:fill="1A365D"/>
            <w:tcMar>
              <w:top w:w="120" w:type="dxa"/>
              <w:bottom w:w="120" w:type="dxa"/>
              <w:left w:w="140" w:type="dxa"/>
              <w:right w:w="140" w:type="dxa"/>
            </w:tcMar>
          </w:tcPr>
          <w:p>
            <w:pPr>
              <w:jc w:val="center"/>
            </w:pPr>
            <w:r>
              <w:rPr>
                <w:rFonts w:ascii="Arial" w:hAnsi="Arial"/>
                <w:b/>
                <w:color w:val="FFFFFF"/>
                <w:sz w:val="19"/>
              </w:rPr>
              <w:t>System Tier</w:t>
            </w:r>
          </w:p>
        </w:tc>
        <w:tc>
          <w:tcPr>
            <w:tcW w:type="dxa" w:w="2016"/>
            <w:shd w:fill="1A365D"/>
            <w:tcMar>
              <w:top w:w="120" w:type="dxa"/>
              <w:bottom w:w="120" w:type="dxa"/>
              <w:left w:w="140" w:type="dxa"/>
              <w:right w:w="140" w:type="dxa"/>
            </w:tcMar>
          </w:tcPr>
          <w:p>
            <w:pPr>
              <w:jc w:val="center"/>
            </w:pPr>
            <w:r>
              <w:rPr>
                <w:rFonts w:ascii="Arial" w:hAnsi="Arial"/>
                <w:b/>
                <w:color w:val="FFFFFF"/>
                <w:sz w:val="19"/>
              </w:rPr>
              <w:t>Primary Runtime</w:t>
            </w:r>
          </w:p>
        </w:tc>
        <w:tc>
          <w:tcPr>
            <w:tcW w:type="dxa" w:w="2880"/>
            <w:shd w:fill="1A365D"/>
            <w:tcMar>
              <w:top w:w="120" w:type="dxa"/>
              <w:bottom w:w="120" w:type="dxa"/>
              <w:left w:w="140" w:type="dxa"/>
              <w:right w:w="140" w:type="dxa"/>
            </w:tcMar>
          </w:tcPr>
          <w:p>
            <w:pPr>
              <w:jc w:val="center"/>
            </w:pPr>
            <w:r>
              <w:rPr>
                <w:rFonts w:ascii="Arial" w:hAnsi="Arial"/>
                <w:b/>
                <w:color w:val="FFFFFF"/>
                <w:sz w:val="19"/>
              </w:rPr>
              <w:t>Key Libraries / Packages</w:t>
            </w:r>
          </w:p>
        </w:tc>
        <w:tc>
          <w:tcPr>
            <w:tcW w:type="dxa" w:w="2448"/>
            <w:shd w:fill="1A365D"/>
            <w:tcMar>
              <w:top w:w="120" w:type="dxa"/>
              <w:bottom w:w="120" w:type="dxa"/>
              <w:left w:w="140" w:type="dxa"/>
              <w:right w:w="140" w:type="dxa"/>
            </w:tcMar>
          </w:tcPr>
          <w:p>
            <w:pPr>
              <w:jc w:val="center"/>
            </w:pPr>
            <w:r>
              <w:rPr>
                <w:rFonts w:ascii="Arial" w:hAnsi="Arial"/>
                <w:b/>
                <w:color w:val="FFFFFF"/>
                <w:sz w:val="19"/>
              </w:rPr>
              <w:t>Operational Role</w:t>
            </w:r>
          </w:p>
        </w:tc>
      </w:tr>
      <w:tr>
        <w:trPr>
          <w:cantSplit/>
        </w:trPr>
        <w:tc>
          <w:tcPr>
            <w:tcW w:type="dxa" w:w="2016"/>
            <w:shd w:fill="FFFFFF"/>
            <w:tcMar>
              <w:top w:w="100" w:type="dxa"/>
              <w:bottom w:w="100" w:type="dxa"/>
              <w:left w:w="140" w:type="dxa"/>
              <w:right w:w="140" w:type="dxa"/>
            </w:tcMar>
          </w:tcPr>
          <w:p>
            <w:pPr>
              <w:jc w:val="left"/>
            </w:pPr>
            <w:r>
              <w:rPr>
                <w:rFonts w:ascii="Arial" w:hAnsi="Arial"/>
                <w:color w:val="2D3748"/>
                <w:sz w:val="18"/>
              </w:rPr>
              <w:t>Core Forensics Engine</w:t>
            </w:r>
          </w:p>
        </w:tc>
        <w:tc>
          <w:tcPr>
            <w:tcW w:type="dxa" w:w="2016"/>
            <w:shd w:fill="FFFFFF"/>
            <w:tcMar>
              <w:top w:w="100" w:type="dxa"/>
              <w:bottom w:w="100" w:type="dxa"/>
              <w:left w:w="140" w:type="dxa"/>
              <w:right w:w="140" w:type="dxa"/>
            </w:tcMar>
          </w:tcPr>
          <w:p>
            <w:pPr>
              <w:jc w:val="left"/>
            </w:pPr>
            <w:r>
              <w:rPr>
                <w:rFonts w:ascii="Arial" w:hAnsi="Arial"/>
                <w:color w:val="2D3748"/>
                <w:sz w:val="18"/>
              </w:rPr>
              <w:t>Python 3.11 - 3.14</w:t>
            </w:r>
          </w:p>
        </w:tc>
        <w:tc>
          <w:tcPr>
            <w:tcW w:type="dxa" w:w="2880"/>
            <w:shd w:fill="FFFFFF"/>
            <w:tcMar>
              <w:top w:w="100" w:type="dxa"/>
              <w:bottom w:w="100" w:type="dxa"/>
              <w:left w:w="140" w:type="dxa"/>
              <w:right w:w="140" w:type="dxa"/>
            </w:tcMar>
          </w:tcPr>
          <w:p>
            <w:pPr>
              <w:jc w:val="left"/>
            </w:pPr>
            <w:r>
              <w:rPr>
                <w:rFonts w:ascii="Arial" w:hAnsi="Arial"/>
                <w:color w:val="2D3748"/>
                <w:sz w:val="18"/>
              </w:rPr>
              <w:t>Web3.py, Scikit-learn, Pandas, Joblib, Pydantic, Rich</w:t>
            </w:r>
          </w:p>
        </w:tc>
        <w:tc>
          <w:tcPr>
            <w:tcW w:type="dxa" w:w="2448"/>
            <w:shd w:fill="FFFFFF"/>
            <w:tcMar>
              <w:top w:w="100" w:type="dxa"/>
              <w:bottom w:w="100" w:type="dxa"/>
              <w:left w:w="140" w:type="dxa"/>
              <w:right w:w="140" w:type="dxa"/>
            </w:tcMar>
          </w:tcPr>
          <w:p>
            <w:pPr>
              <w:jc w:val="left"/>
            </w:pPr>
            <w:r>
              <w:rPr>
                <w:rFonts w:ascii="Arial" w:hAnsi="Arial"/>
                <w:color w:val="2D3748"/>
                <w:sz w:val="18"/>
              </w:rPr>
              <w:t>AST analysis, feature engineering, ML training, scoring, CLI</w:t>
            </w:r>
          </w:p>
        </w:tc>
      </w:tr>
      <w:tr>
        <w:trPr>
          <w:cantSplit/>
        </w:trPr>
        <w:tc>
          <w:tcPr>
            <w:tcW w:type="dxa" w:w="2016"/>
            <w:shd w:fill="F7FAFC"/>
            <w:tcMar>
              <w:top w:w="100" w:type="dxa"/>
              <w:bottom w:w="100" w:type="dxa"/>
              <w:left w:w="140" w:type="dxa"/>
              <w:right w:w="140" w:type="dxa"/>
            </w:tcMar>
          </w:tcPr>
          <w:p>
            <w:pPr>
              <w:jc w:val="left"/>
            </w:pPr>
            <w:r>
              <w:rPr>
                <w:rFonts w:ascii="Arial" w:hAnsi="Arial"/>
                <w:color w:val="2D3748"/>
                <w:sz w:val="18"/>
              </w:rPr>
              <w:t>Backend REST API</w:t>
            </w:r>
          </w:p>
        </w:tc>
        <w:tc>
          <w:tcPr>
            <w:tcW w:type="dxa" w:w="2016"/>
            <w:shd w:fill="F7FAFC"/>
            <w:tcMar>
              <w:top w:w="100" w:type="dxa"/>
              <w:bottom w:w="100" w:type="dxa"/>
              <w:left w:w="140" w:type="dxa"/>
              <w:right w:w="140" w:type="dxa"/>
            </w:tcMar>
          </w:tcPr>
          <w:p>
            <w:pPr>
              <w:jc w:val="left"/>
            </w:pPr>
            <w:r>
              <w:rPr>
                <w:rFonts w:ascii="Arial" w:hAnsi="Arial"/>
                <w:color w:val="2D3748"/>
                <w:sz w:val="18"/>
              </w:rPr>
              <w:t>Node.js 20.x + Express</w:t>
            </w:r>
          </w:p>
        </w:tc>
        <w:tc>
          <w:tcPr>
            <w:tcW w:type="dxa" w:w="2880"/>
            <w:shd w:fill="F7FAFC"/>
            <w:tcMar>
              <w:top w:w="100" w:type="dxa"/>
              <w:bottom w:w="100" w:type="dxa"/>
              <w:left w:w="140" w:type="dxa"/>
              <w:right w:w="140" w:type="dxa"/>
            </w:tcMar>
          </w:tcPr>
          <w:p>
            <w:pPr>
              <w:jc w:val="left"/>
            </w:pPr>
            <w:r>
              <w:rPr>
                <w:rFonts w:ascii="Arial" w:hAnsi="Arial"/>
                <w:color w:val="2D3748"/>
                <w:sz w:val="18"/>
              </w:rPr>
              <w:t>Express.js, Mongoose, Multer, Cors, Dotenv</w:t>
            </w:r>
          </w:p>
        </w:tc>
        <w:tc>
          <w:tcPr>
            <w:tcW w:type="dxa" w:w="2448"/>
            <w:shd w:fill="F7FAFC"/>
            <w:tcMar>
              <w:top w:w="100" w:type="dxa"/>
              <w:bottom w:w="100" w:type="dxa"/>
              <w:left w:w="140" w:type="dxa"/>
              <w:right w:w="140" w:type="dxa"/>
            </w:tcMar>
          </w:tcPr>
          <w:p>
            <w:pPr>
              <w:jc w:val="left"/>
            </w:pPr>
            <w:r>
              <w:rPr>
                <w:rFonts w:ascii="Arial" w:hAnsi="Arial"/>
                <w:color w:val="2D3748"/>
                <w:sz w:val="18"/>
              </w:rPr>
              <w:t>REST endpoints, MongoDB persistence, child-process Python bridge</w:t>
            </w:r>
          </w:p>
        </w:tc>
      </w:tr>
      <w:tr>
        <w:trPr>
          <w:cantSplit/>
        </w:trPr>
        <w:tc>
          <w:tcPr>
            <w:tcW w:type="dxa" w:w="2016"/>
            <w:shd w:fill="FFFFFF"/>
            <w:tcMar>
              <w:top w:w="100" w:type="dxa"/>
              <w:bottom w:w="100" w:type="dxa"/>
              <w:left w:w="140" w:type="dxa"/>
              <w:right w:w="140" w:type="dxa"/>
            </w:tcMar>
          </w:tcPr>
          <w:p>
            <w:pPr>
              <w:jc w:val="left"/>
            </w:pPr>
            <w:r>
              <w:rPr>
                <w:rFonts w:ascii="Arial" w:hAnsi="Arial"/>
                <w:color w:val="2D3748"/>
                <w:sz w:val="18"/>
              </w:rPr>
              <w:t>Frontend UI Dashboard</w:t>
            </w:r>
          </w:p>
        </w:tc>
        <w:tc>
          <w:tcPr>
            <w:tcW w:type="dxa" w:w="2016"/>
            <w:shd w:fill="FFFFFF"/>
            <w:tcMar>
              <w:top w:w="100" w:type="dxa"/>
              <w:bottom w:w="100" w:type="dxa"/>
              <w:left w:w="140" w:type="dxa"/>
              <w:right w:w="140" w:type="dxa"/>
            </w:tcMar>
          </w:tcPr>
          <w:p>
            <w:pPr>
              <w:jc w:val="left"/>
            </w:pPr>
            <w:r>
              <w:rPr>
                <w:rFonts w:ascii="Arial" w:hAnsi="Arial"/>
                <w:color w:val="2D3748"/>
                <w:sz w:val="18"/>
              </w:rPr>
              <w:t>React 18 + Vite</w:t>
            </w:r>
          </w:p>
        </w:tc>
        <w:tc>
          <w:tcPr>
            <w:tcW w:type="dxa" w:w="2880"/>
            <w:shd w:fill="FFFFFF"/>
            <w:tcMar>
              <w:top w:w="100" w:type="dxa"/>
              <w:bottom w:w="100" w:type="dxa"/>
              <w:left w:w="140" w:type="dxa"/>
              <w:right w:w="140" w:type="dxa"/>
            </w:tcMar>
          </w:tcPr>
          <w:p>
            <w:pPr>
              <w:jc w:val="left"/>
            </w:pPr>
            <w:r>
              <w:rPr>
                <w:rFonts w:ascii="Arial" w:hAnsi="Arial"/>
                <w:color w:val="2D3748"/>
                <w:sz w:val="18"/>
              </w:rPr>
              <w:t>React SPA, Modern Vanilla CSS, Custom SVG Speedometer</w:t>
            </w:r>
          </w:p>
        </w:tc>
        <w:tc>
          <w:tcPr>
            <w:tcW w:type="dxa" w:w="2448"/>
            <w:shd w:fill="FFFFFF"/>
            <w:tcMar>
              <w:top w:w="100" w:type="dxa"/>
              <w:bottom w:w="100" w:type="dxa"/>
              <w:left w:w="140" w:type="dxa"/>
              <w:right w:w="140" w:type="dxa"/>
            </w:tcMar>
          </w:tcPr>
          <w:p>
            <w:pPr>
              <w:jc w:val="left"/>
            </w:pPr>
            <w:r>
              <w:rPr>
                <w:rFonts w:ascii="Arial" w:hAnsi="Arial"/>
                <w:color w:val="2D3748"/>
                <w:sz w:val="18"/>
              </w:rPr>
              <w:t>Dark-mode glassmorphic UI, preset samples, live audit history</w:t>
            </w:r>
          </w:p>
        </w:tc>
      </w:tr>
      <w:tr>
        <w:trPr>
          <w:cantSplit/>
        </w:trPr>
        <w:tc>
          <w:tcPr>
            <w:tcW w:type="dxa" w:w="2016"/>
            <w:shd w:fill="F7FAFC"/>
            <w:tcMar>
              <w:top w:w="100" w:type="dxa"/>
              <w:bottom w:w="100" w:type="dxa"/>
              <w:left w:w="140" w:type="dxa"/>
              <w:right w:w="140" w:type="dxa"/>
            </w:tcMar>
          </w:tcPr>
          <w:p>
            <w:pPr>
              <w:jc w:val="left"/>
            </w:pPr>
            <w:r>
              <w:rPr>
                <w:rFonts w:ascii="Arial" w:hAnsi="Arial"/>
                <w:color w:val="2D3748"/>
                <w:sz w:val="18"/>
              </w:rPr>
              <w:t>Storage &amp; Database</w:t>
            </w:r>
          </w:p>
        </w:tc>
        <w:tc>
          <w:tcPr>
            <w:tcW w:type="dxa" w:w="2016"/>
            <w:shd w:fill="F7FAFC"/>
            <w:tcMar>
              <w:top w:w="100" w:type="dxa"/>
              <w:bottom w:w="100" w:type="dxa"/>
              <w:left w:w="140" w:type="dxa"/>
              <w:right w:w="140" w:type="dxa"/>
            </w:tcMar>
          </w:tcPr>
          <w:p>
            <w:pPr>
              <w:jc w:val="left"/>
            </w:pPr>
            <w:r>
              <w:rPr>
                <w:rFonts w:ascii="Arial" w:hAnsi="Arial"/>
                <w:color w:val="2D3748"/>
                <w:sz w:val="18"/>
              </w:rPr>
              <w:t>MongoDB Community 6.0+</w:t>
            </w:r>
          </w:p>
        </w:tc>
        <w:tc>
          <w:tcPr>
            <w:tcW w:type="dxa" w:w="2880"/>
            <w:shd w:fill="F7FAFC"/>
            <w:tcMar>
              <w:top w:w="100" w:type="dxa"/>
              <w:bottom w:w="100" w:type="dxa"/>
              <w:left w:w="140" w:type="dxa"/>
              <w:right w:w="140" w:type="dxa"/>
            </w:tcMar>
          </w:tcPr>
          <w:p>
            <w:pPr>
              <w:jc w:val="left"/>
            </w:pPr>
            <w:r>
              <w:rPr>
                <w:rFonts w:ascii="Arial" w:hAnsi="Arial"/>
                <w:color w:val="2D3748"/>
                <w:sz w:val="18"/>
              </w:rPr>
              <w:t>Mongoose ORM Schema</w:t>
            </w:r>
          </w:p>
        </w:tc>
        <w:tc>
          <w:tcPr>
            <w:tcW w:type="dxa" w:w="2448"/>
            <w:shd w:fill="F7FAFC"/>
            <w:tcMar>
              <w:top w:w="100" w:type="dxa"/>
              <w:bottom w:w="100" w:type="dxa"/>
              <w:left w:w="140" w:type="dxa"/>
              <w:right w:w="140" w:type="dxa"/>
            </w:tcMar>
          </w:tcPr>
          <w:p>
            <w:pPr>
              <w:jc w:val="left"/>
            </w:pPr>
            <w:r>
              <w:rPr>
                <w:rFonts w:ascii="Arial" w:hAnsi="Arial"/>
                <w:color w:val="2D3748"/>
                <w:sz w:val="18"/>
              </w:rPr>
              <w:t>Document store for audit reports, risk scores, and findings</w:t>
            </w:r>
          </w:p>
        </w:tc>
      </w:tr>
      <w:tr>
        <w:trPr>
          <w:cantSplit/>
        </w:trPr>
        <w:tc>
          <w:tcPr>
            <w:tcW w:type="dxa" w:w="2016"/>
            <w:shd w:fill="FFFFFF"/>
            <w:tcMar>
              <w:top w:w="100" w:type="dxa"/>
              <w:bottom w:w="100" w:type="dxa"/>
              <w:left w:w="140" w:type="dxa"/>
              <w:right w:w="140" w:type="dxa"/>
            </w:tcMar>
          </w:tcPr>
          <w:p>
            <w:pPr>
              <w:jc w:val="left"/>
            </w:pPr>
            <w:r>
              <w:rPr>
                <w:rFonts w:ascii="Arial" w:hAnsi="Arial"/>
                <w:color w:val="2D3748"/>
                <w:sz w:val="18"/>
              </w:rPr>
              <w:t>Quality Assurance</w:t>
            </w:r>
          </w:p>
        </w:tc>
        <w:tc>
          <w:tcPr>
            <w:tcW w:type="dxa" w:w="2016"/>
            <w:shd w:fill="FFFFFF"/>
            <w:tcMar>
              <w:top w:w="100" w:type="dxa"/>
              <w:bottom w:w="100" w:type="dxa"/>
              <w:left w:w="140" w:type="dxa"/>
              <w:right w:w="140" w:type="dxa"/>
            </w:tcMar>
          </w:tcPr>
          <w:p>
            <w:pPr>
              <w:jc w:val="left"/>
            </w:pPr>
            <w:r>
              <w:rPr>
                <w:rFonts w:ascii="Arial" w:hAnsi="Arial"/>
                <w:color w:val="2D3748"/>
                <w:sz w:val="18"/>
              </w:rPr>
              <w:t>Pytest 7.4+</w:t>
            </w:r>
          </w:p>
        </w:tc>
        <w:tc>
          <w:tcPr>
            <w:tcW w:type="dxa" w:w="2880"/>
            <w:shd w:fill="FFFFFF"/>
            <w:tcMar>
              <w:top w:w="100" w:type="dxa"/>
              <w:bottom w:w="100" w:type="dxa"/>
              <w:left w:w="140" w:type="dxa"/>
              <w:right w:w="140" w:type="dxa"/>
            </w:tcMar>
          </w:tcPr>
          <w:p>
            <w:pPr>
              <w:jc w:val="left"/>
            </w:pPr>
            <w:r>
              <w:rPr>
                <w:rFonts w:ascii="Arial" w:hAnsi="Arial"/>
                <w:color w:val="2D3748"/>
                <w:sz w:val="18"/>
              </w:rPr>
              <w:t>Pytest, Unittest, Mock, Pytest-cov</w:t>
            </w:r>
          </w:p>
        </w:tc>
        <w:tc>
          <w:tcPr>
            <w:tcW w:type="dxa" w:w="2448"/>
            <w:shd w:fill="FFFFFF"/>
            <w:tcMar>
              <w:top w:w="100" w:type="dxa"/>
              <w:bottom w:w="100" w:type="dxa"/>
              <w:left w:w="140" w:type="dxa"/>
              <w:right w:w="140" w:type="dxa"/>
            </w:tcMar>
          </w:tcPr>
          <w:p>
            <w:pPr>
              <w:jc w:val="left"/>
            </w:pPr>
            <w:r>
              <w:rPr>
                <w:rFonts w:ascii="Arial" w:hAnsi="Arial"/>
                <w:color w:val="2D3748"/>
                <w:sz w:val="18"/>
              </w:rPr>
              <w:t>208 automated unit and integration tests across 12 test suites</w:t>
            </w:r>
          </w:p>
        </w:tc>
      </w:tr>
    </w:tbl>
    <w:p>
      <w:pPr>
        <w:pStyle w:val="Heading2"/>
        <w:keepNext/>
        <w:spacing w:before="280" w:after="120"/>
      </w:pPr>
      <w:r>
        <w:rPr>
          <w:rFonts w:ascii="Arial" w:hAnsi="Arial"/>
          <w:b/>
          <w:color w:val="2B6CB0"/>
          <w:sz w:val="27"/>
        </w:rPr>
        <w:t>4.2 Codebase Structure &amp; Directory Layout</w:t>
      </w:r>
    </w:p>
    <w:p>
      <w:pPr>
        <w:spacing w:before="0" w:after="120" w:line="288" w:lineRule="auto"/>
      </w:pPr>
      <w:r>
        <w:rPr>
          <w:rFonts w:ascii="Arial" w:hAnsi="Arial"/>
          <w:color w:val="2D3748"/>
          <w:sz w:val="21"/>
        </w:rPr>
        <w:t>The codebase is cleanly organized into specialized packages ensuring complete modularity:</w:t>
      </w:r>
    </w:p>
    <w:p>
      <w:pPr>
        <w:spacing w:before="120" w:after="40"/>
      </w:pPr>
      <w:r>
        <w:rPr>
          <w:rFonts w:ascii="Arial" w:hAnsi="Arial"/>
          <w:b/>
          <w:color w:val="2B6CB0"/>
          <w:sz w:val="19"/>
        </w:rPr>
        <w:t>Code Listing: Complete Project Repository Structure</w:t>
      </w:r>
    </w:p>
    <w:tbl>
      <w:tblPr>
        <w:tblW w:type="auto" w:w="0"/>
        <w:jc w:val="center"/>
        <w:tblLayout w:type="fixed"/>
        <w:tblLook w:firstColumn="1" w:firstRow="1" w:lastColumn="0" w:lastRow="0" w:noHBand="0" w:noVBand="1" w:val="04A0"/>
      </w:tblPr>
      <w:tblGrid>
        <w:gridCol w:w="9360"/>
      </w:tblGrid>
      <w:tr>
        <w:tc>
          <w:tcPr>
            <w:tcW w:type="dxa" w:w="9360"/>
            <w:shd w:fill="2D3748"/>
            <w:tcMar>
              <w:top w:w="140" w:type="dxa"/>
              <w:bottom w:w="140" w:type="dxa"/>
              <w:left w:w="180" w:type="dxa"/>
              <w:right w:w="180" w:type="dxa"/>
            </w:tcMar>
          </w:tcPr>
          <w:p>
            <w:pPr>
              <w:spacing w:before="0" w:after="0" w:line="252" w:lineRule="auto"/>
            </w:pPr>
            <w:r>
              <w:rPr>
                <w:rFonts w:ascii="Consolas" w:hAnsi="Consolas"/>
                <w:color w:val="E2E8F0"/>
                <w:sz w:val="18"/>
              </w:rPr>
              <w:t>mini-project/</w:t>
              <w:br/>
              <w:t>├── main.py                          # Unified CLI entry point (argparse + rich)</w:t>
              <w:br/>
              <w:t>├── app.py                           # Python forensic bridge &amp; REST engine</w:t>
              <w:br/>
              <w:t>├── package.json                     # Root orchestrator for full MERN stack</w:t>
              <w:br/>
              <w:t>├── src/                             # Core Python Detection Package</w:t>
              <w:br/>
              <w:t>│   ├── config.py                    # Multi-chain network registry &amp; settings</w:t>
              <w:br/>
              <w:t>│   ├── utils.py                     # EIP-55 checksum, Keccak-256, comment stripper</w:t>
              <w:br/>
              <w:t>│   ├── contract_loader.py           # Multi-modal ingestion router (load_auto)</w:t>
              <w:br/>
              <w:t>│   ├── blockchain_client.py         # Web3 RPC client for bytecode &amp; ERC-20 metadata</w:t>
              <w:br/>
              <w:t>│   ├── explorer_client.py           # Etherscan/BscScan verified source client</w:t>
              <w:br/>
              <w:t>│   ├── source_analyzer.py           # AST structural parser &amp; clean LOC counter</w:t>
              <w:br/>
              <w:t>│   ├── detection_rules.py           # 10 BaseRule classes &amp; positive indicator engine</w:t>
              <w:br/>
              <w:t>│   ├── feature_extractor.py         # 19-dimensional numeric feature engineering</w:t>
              <w:br/>
              <w:t>│   ├── ml_detector.py               # Serialized model inference &amp; attribution drivers</w:t>
              <w:br/>
              <w:t>│   ├── risk_scorer.py               # Explainable 0-100 risk scoring &amp; security floors</w:t>
              <w:br/>
              <w:t>│   ├── simulation_adapter.py        # External buy/sell trade sandbox adapter</w:t>
              <w:br/>
              <w:t>│   └── report_generator.py          # JSON, CSV, and Markdown audit export</w:t>
              <w:br/>
              <w:t>├── ml/                              # Machine Learning Pipeline</w:t>
              <w:br/>
              <w:t>│   ├── preprocess.py                # Dataset loader, cleaner, 80/20 train/test split</w:t>
              <w:br/>
              <w:t>│   ├── train_model.py               # Random Forest &amp; Logistic Regression trainer</w:t>
              <w:br/>
              <w:t>│   └── evaluate_model.py            # Classification metrics, ROC curve, confusion matrix</w:t>
              <w:br/>
              <w:t>├── models/                          # Serialized Model Artifacts (.joblib)</w:t>
              <w:br/>
              <w:t>├── server/                          # Node.js + Express Backend</w:t>
              <w:br/>
              <w:t>│   ├── server.js                    # Express app, CORS, static client serving</w:t>
              <w:br/>
              <w:t>│   ├── routes/auditRoutes.js        # /api/analyze, /api/history, /api/statistics</w:t>
              <w:br/>
              <w:t>│   └── models/AuditReport.js        # Mongoose schema for persistent audit logs</w:t>
              <w:br/>
              <w:t>├── client/                          # React + Vite Frontend SPA</w:t>
              <w:br/>
              <w:t>│   └── src/components/              # RiskGauge, FindingsTable, AuditHistory, ContractInput</w:t>
              <w:br/>
              <w:t>├── samples/                         # Reference Contracts (Safe, Honeypot, Restricted)</w:t>
              <w:br/>
              <w:t>└── tests/                           # 12 Automated Test Suites (208 passing tests)</w:t>
            </w:r>
          </w:p>
        </w:tc>
      </w:tr>
    </w:tbl>
    <w:p>
      <w:pPr>
        <w:spacing w:before="0" w:after="120"/>
      </w:pPr>
    </w:p>
    <w:p>
      <w:pPr>
        <w:pStyle w:val="Heading2"/>
        <w:keepNext/>
        <w:spacing w:before="280" w:after="120"/>
      </w:pPr>
      <w:r>
        <w:rPr>
          <w:rFonts w:ascii="Arial" w:hAnsi="Arial"/>
          <w:b/>
          <w:color w:val="2B6CB0"/>
          <w:sz w:val="27"/>
        </w:rPr>
        <w:t>4.3 Core Module Implementation Details</w:t>
      </w:r>
    </w:p>
    <w:p>
      <w:pPr>
        <w:pStyle w:val="Heading3"/>
        <w:keepNext/>
        <w:spacing w:before="200" w:after="80"/>
      </w:pPr>
      <w:r>
        <w:rPr>
          <w:rFonts w:ascii="Arial" w:hAnsi="Arial"/>
          <w:b/>
          <w:color w:val="319795"/>
          <w:sz w:val="23"/>
        </w:rPr>
        <w:t>4.3.1 Comment Stripping with Line Index Preservation</w:t>
      </w:r>
    </w:p>
    <w:p>
      <w:pPr>
        <w:spacing w:before="0" w:after="120" w:line="288" w:lineRule="auto"/>
      </w:pPr>
      <w:r>
        <w:rPr>
          <w:rFonts w:ascii="Arial" w:hAnsi="Arial"/>
          <w:color w:val="2D3748"/>
          <w:sz w:val="21"/>
        </w:rPr>
        <w:t>In forensic auditing, regular expressions and AST parsers must not match false positives within comments (e.g., developer comments stating `// this token has no blacklist`). However, simply deleting comments shifts line numbers, breaking line attribution. Implemented in `src/utils.py`, `strip_comments_preserving_lines()` replaces non-newline comment characters with spaces, guaranteeing that line $N$ in `clean_source` corresponds precisely to line $N$ in `raw_source`.</w:t>
      </w:r>
    </w:p>
    <w:p>
      <w:pPr>
        <w:pStyle w:val="Heading3"/>
        <w:keepNext/>
        <w:spacing w:before="200" w:after="80"/>
      </w:pPr>
      <w:r>
        <w:rPr>
          <w:rFonts w:ascii="Arial" w:hAnsi="Arial"/>
          <w:b/>
          <w:color w:val="319795"/>
          <w:sz w:val="23"/>
        </w:rPr>
        <w:t>4.3.2 Express-to-Python Forensic Bridge</w:t>
      </w:r>
    </w:p>
    <w:p>
      <w:pPr>
        <w:spacing w:before="0" w:after="120" w:line="288" w:lineRule="auto"/>
      </w:pPr>
      <w:r>
        <w:rPr>
          <w:rFonts w:ascii="Arial" w:hAnsi="Arial"/>
          <w:color w:val="2D3748"/>
          <w:sz w:val="21"/>
        </w:rPr>
        <w:t>The MERN backend in `server/routes/auditRoutes.js` exposes `/api/analyze`. When an audit is requested, Express spawns the Python engine as a child process via `child_process.spawn('python', ['app.py', '--json', tempFilePath])`. The Python process executes the complete static analysis and ML pipeline, returning a structured JSON payload over stdout. Express receives the JSON, persists the audit report to MongoDB via Mongoose, and streams the response to the React frontend.</w:t>
      </w:r>
    </w:p>
    <w:p>
      <w:pPr>
        <w:pStyle w:val="Heading3"/>
        <w:keepNext/>
        <w:spacing w:before="200" w:after="80"/>
      </w:pPr>
      <w:r>
        <w:rPr>
          <w:rFonts w:ascii="Arial" w:hAnsi="Arial"/>
          <w:b/>
          <w:color w:val="319795"/>
          <w:sz w:val="23"/>
        </w:rPr>
        <w:t>4.3.3 React Animated Speedometer &amp; Glassmorphic UI</w:t>
      </w:r>
    </w:p>
    <w:p>
      <w:pPr>
        <w:spacing w:before="0" w:after="120" w:line="288" w:lineRule="auto"/>
      </w:pPr>
      <w:r>
        <w:rPr>
          <w:rFonts w:ascii="Arial" w:hAnsi="Arial"/>
          <w:color w:val="2D3748"/>
          <w:sz w:val="21"/>
        </w:rPr>
        <w:t>The frontend in `client/src/components/RiskGauge.jsx` renders a custom animated SVG gauge displaying the 0-100 risk score. It features dynamic stroke-dashoffset transitions, color-coded severity gradients (Green for Low, Yellow for Moderate, Orange for High, Crimson for Critical), a rotating needle indicator, and real-time sub-metric chips displaying findings count, positive indicator offsets, and ML honeypot probability.</w:t>
      </w:r>
    </w:p>
    <w:p>
      <w:pPr>
        <w:pStyle w:val="Heading2"/>
        <w:keepNext/>
        <w:spacing w:before="280" w:after="120"/>
      </w:pPr>
      <w:r>
        <w:rPr>
          <w:rFonts w:ascii="Arial" w:hAnsi="Arial"/>
          <w:b/>
          <w:color w:val="2B6CB0"/>
          <w:sz w:val="27"/>
        </w:rPr>
        <w:t>4.4 Automated Testing &amp; Quality Assurance Suite</w:t>
      </w:r>
    </w:p>
    <w:p>
      <w:pPr>
        <w:spacing w:before="0" w:after="120" w:line="288" w:lineRule="auto"/>
      </w:pPr>
      <w:r>
        <w:rPr>
          <w:rFonts w:ascii="Arial" w:hAnsi="Arial"/>
          <w:color w:val="2D3748"/>
          <w:sz w:val="21"/>
        </w:rPr>
        <w:t>The project enforces rigorous automated testing. The test suite comprises **208 automated unit and integration tests across 12 test files**, achieving high code coverage and 100% pass rate:</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592"/>
            <w:shd w:fill="1A365D"/>
            <w:tcMar>
              <w:top w:w="120" w:type="dxa"/>
              <w:bottom w:w="120" w:type="dxa"/>
              <w:left w:w="140" w:type="dxa"/>
              <w:right w:w="140" w:type="dxa"/>
            </w:tcMar>
          </w:tcPr>
          <w:p>
            <w:pPr>
              <w:jc w:val="center"/>
            </w:pPr>
            <w:r>
              <w:rPr>
                <w:rFonts w:ascii="Arial" w:hAnsi="Arial"/>
                <w:b/>
                <w:color w:val="FFFFFF"/>
                <w:sz w:val="19"/>
              </w:rPr>
              <w:t>Test Suite File</w:t>
            </w:r>
          </w:p>
        </w:tc>
        <w:tc>
          <w:tcPr>
            <w:tcW w:type="dxa" w:w="1440"/>
            <w:shd w:fill="1A365D"/>
            <w:tcMar>
              <w:top w:w="120" w:type="dxa"/>
              <w:bottom w:w="120" w:type="dxa"/>
              <w:left w:w="140" w:type="dxa"/>
              <w:right w:w="140" w:type="dxa"/>
            </w:tcMar>
          </w:tcPr>
          <w:p>
            <w:pPr>
              <w:jc w:val="center"/>
            </w:pPr>
            <w:r>
              <w:rPr>
                <w:rFonts w:ascii="Arial" w:hAnsi="Arial"/>
                <w:b/>
                <w:color w:val="FFFFFF"/>
                <w:sz w:val="19"/>
              </w:rPr>
              <w:t>Test Category</w:t>
            </w:r>
          </w:p>
        </w:tc>
        <w:tc>
          <w:tcPr>
            <w:tcW w:type="dxa" w:w="1008"/>
            <w:shd w:fill="1A365D"/>
            <w:tcMar>
              <w:top w:w="120" w:type="dxa"/>
              <w:bottom w:w="120" w:type="dxa"/>
              <w:left w:w="140" w:type="dxa"/>
              <w:right w:w="140" w:type="dxa"/>
            </w:tcMar>
          </w:tcPr>
          <w:p>
            <w:pPr>
              <w:jc w:val="center"/>
            </w:pPr>
            <w:r>
              <w:rPr>
                <w:rFonts w:ascii="Arial" w:hAnsi="Arial"/>
                <w:b/>
                <w:color w:val="FFFFFF"/>
                <w:sz w:val="19"/>
              </w:rPr>
              <w:t>Tests</w:t>
            </w:r>
          </w:p>
        </w:tc>
        <w:tc>
          <w:tcPr>
            <w:tcW w:type="dxa" w:w="4320"/>
            <w:shd w:fill="1A365D"/>
            <w:tcMar>
              <w:top w:w="120" w:type="dxa"/>
              <w:bottom w:w="120" w:type="dxa"/>
              <w:left w:w="140" w:type="dxa"/>
              <w:right w:w="140" w:type="dxa"/>
            </w:tcMar>
          </w:tcPr>
          <w:p>
            <w:pPr>
              <w:jc w:val="center"/>
            </w:pPr>
            <w:r>
              <w:rPr>
                <w:rFonts w:ascii="Arial" w:hAnsi="Arial"/>
                <w:b/>
                <w:color w:val="FFFFFF"/>
                <w:sz w:val="19"/>
              </w:rPr>
              <w:t>Verification Scope</w:t>
            </w:r>
          </w:p>
        </w:tc>
      </w:tr>
      <w:tr>
        <w:trPr>
          <w:cantSplit/>
        </w:trPr>
        <w:tc>
          <w:tcPr>
            <w:tcW w:type="dxa" w:w="2592"/>
            <w:shd w:fill="FFFFFF"/>
            <w:tcMar>
              <w:top w:w="100" w:type="dxa"/>
              <w:bottom w:w="100" w:type="dxa"/>
              <w:left w:w="140" w:type="dxa"/>
              <w:right w:w="140" w:type="dxa"/>
            </w:tcMar>
          </w:tcPr>
          <w:p>
            <w:pPr>
              <w:jc w:val="left"/>
            </w:pPr>
            <w:r>
              <w:rPr>
                <w:rFonts w:ascii="Arial" w:hAnsi="Arial"/>
                <w:color w:val="2D3748"/>
                <w:sz w:val="18"/>
              </w:rPr>
              <w:t>test_detection_rules.py</w:t>
            </w:r>
          </w:p>
        </w:tc>
        <w:tc>
          <w:tcPr>
            <w:tcW w:type="dxa" w:w="1440"/>
            <w:shd w:fill="FFFFFF"/>
            <w:tcMar>
              <w:top w:w="100" w:type="dxa"/>
              <w:bottom w:w="100" w:type="dxa"/>
              <w:left w:w="140" w:type="dxa"/>
              <w:right w:w="140" w:type="dxa"/>
            </w:tcMar>
          </w:tcPr>
          <w:p>
            <w:pPr>
              <w:jc w:val="center"/>
            </w:pPr>
            <w:r>
              <w:rPr>
                <w:rFonts w:ascii="Arial" w:hAnsi="Arial"/>
                <w:color w:val="2D3748"/>
                <w:sz w:val="18"/>
              </w:rPr>
              <w:t>Unit</w:t>
            </w:r>
          </w:p>
        </w:tc>
        <w:tc>
          <w:tcPr>
            <w:tcW w:type="dxa" w:w="1008"/>
            <w:shd w:fill="FFFFFF"/>
            <w:tcMar>
              <w:top w:w="100" w:type="dxa"/>
              <w:bottom w:w="100" w:type="dxa"/>
              <w:left w:w="140" w:type="dxa"/>
              <w:right w:w="140" w:type="dxa"/>
            </w:tcMar>
          </w:tcPr>
          <w:p>
            <w:pPr>
              <w:jc w:val="center"/>
            </w:pPr>
            <w:r>
              <w:rPr>
                <w:rFonts w:ascii="Arial" w:hAnsi="Arial"/>
                <w:color w:val="2D3748"/>
                <w:sz w:val="18"/>
              </w:rPr>
              <w:t>34</w:t>
            </w:r>
          </w:p>
        </w:tc>
        <w:tc>
          <w:tcPr>
            <w:tcW w:type="dxa" w:w="4320"/>
            <w:shd w:fill="FFFFFF"/>
            <w:tcMar>
              <w:top w:w="100" w:type="dxa"/>
              <w:bottom w:w="100" w:type="dxa"/>
              <w:left w:w="140" w:type="dxa"/>
              <w:right w:w="140" w:type="dxa"/>
            </w:tcMar>
          </w:tcPr>
          <w:p>
            <w:pPr>
              <w:jc w:val="left"/>
            </w:pPr>
            <w:r>
              <w:rPr>
                <w:rFonts w:ascii="Arial" w:hAnsi="Arial"/>
                <w:color w:val="2D3748"/>
                <w:sz w:val="18"/>
              </w:rPr>
              <w:t>Validates all 10 honeypot rules and 4 positive indicators against synthetic Solidity snippets.</w:t>
            </w:r>
          </w:p>
        </w:tc>
      </w:tr>
      <w:tr>
        <w:trPr>
          <w:cantSplit/>
        </w:trPr>
        <w:tc>
          <w:tcPr>
            <w:tcW w:type="dxa" w:w="2592"/>
            <w:shd w:fill="F7FAFC"/>
            <w:tcMar>
              <w:top w:w="100" w:type="dxa"/>
              <w:bottom w:w="100" w:type="dxa"/>
              <w:left w:w="140" w:type="dxa"/>
              <w:right w:w="140" w:type="dxa"/>
            </w:tcMar>
          </w:tcPr>
          <w:p>
            <w:pPr>
              <w:jc w:val="left"/>
            </w:pPr>
            <w:r>
              <w:rPr>
                <w:rFonts w:ascii="Arial" w:hAnsi="Arial"/>
                <w:color w:val="2D3748"/>
                <w:sz w:val="18"/>
              </w:rPr>
              <w:t>test_risk_scorer.py</w:t>
            </w:r>
          </w:p>
        </w:tc>
        <w:tc>
          <w:tcPr>
            <w:tcW w:type="dxa" w:w="1440"/>
            <w:shd w:fill="F7FAFC"/>
            <w:tcMar>
              <w:top w:w="100" w:type="dxa"/>
              <w:bottom w:w="100" w:type="dxa"/>
              <w:left w:w="140" w:type="dxa"/>
              <w:right w:w="140" w:type="dxa"/>
            </w:tcMar>
          </w:tcPr>
          <w:p>
            <w:pPr>
              <w:jc w:val="center"/>
            </w:pPr>
            <w:r>
              <w:rPr>
                <w:rFonts w:ascii="Arial" w:hAnsi="Arial"/>
                <w:color w:val="2D3748"/>
                <w:sz w:val="18"/>
              </w:rPr>
              <w:t>Unit</w:t>
            </w:r>
          </w:p>
        </w:tc>
        <w:tc>
          <w:tcPr>
            <w:tcW w:type="dxa" w:w="1008"/>
            <w:shd w:fill="F7FAFC"/>
            <w:tcMar>
              <w:top w:w="100" w:type="dxa"/>
              <w:bottom w:w="100" w:type="dxa"/>
              <w:left w:w="140" w:type="dxa"/>
              <w:right w:w="140" w:type="dxa"/>
            </w:tcMar>
          </w:tcPr>
          <w:p>
            <w:pPr>
              <w:jc w:val="center"/>
            </w:pPr>
            <w:r>
              <w:rPr>
                <w:rFonts w:ascii="Arial" w:hAnsi="Arial"/>
                <w:color w:val="2D3748"/>
                <w:sz w:val="18"/>
              </w:rPr>
              <w:t>22</w:t>
            </w:r>
          </w:p>
        </w:tc>
        <w:tc>
          <w:tcPr>
            <w:tcW w:type="dxa" w:w="4320"/>
            <w:shd w:fill="F7FAFC"/>
            <w:tcMar>
              <w:top w:w="100" w:type="dxa"/>
              <w:bottom w:w="100" w:type="dxa"/>
              <w:left w:w="140" w:type="dxa"/>
              <w:right w:w="140" w:type="dxa"/>
            </w:tcMar>
          </w:tcPr>
          <w:p>
            <w:pPr>
              <w:jc w:val="left"/>
            </w:pPr>
            <w:r>
              <w:rPr>
                <w:rFonts w:ascii="Arial" w:hAnsi="Arial"/>
                <w:color w:val="2D3748"/>
                <w:sz w:val="18"/>
              </w:rPr>
              <w:t>Tests 0-100 risk scoring math, mitigating deductions, clamping, and Critical Floor guardrails.</w:t>
            </w:r>
          </w:p>
        </w:tc>
      </w:tr>
      <w:tr>
        <w:trPr>
          <w:cantSplit/>
        </w:trPr>
        <w:tc>
          <w:tcPr>
            <w:tcW w:type="dxa" w:w="2592"/>
            <w:shd w:fill="FFFFFF"/>
            <w:tcMar>
              <w:top w:w="100" w:type="dxa"/>
              <w:bottom w:w="100" w:type="dxa"/>
              <w:left w:w="140" w:type="dxa"/>
              <w:right w:w="140" w:type="dxa"/>
            </w:tcMar>
          </w:tcPr>
          <w:p>
            <w:pPr>
              <w:jc w:val="left"/>
            </w:pPr>
            <w:r>
              <w:rPr>
                <w:rFonts w:ascii="Arial" w:hAnsi="Arial"/>
                <w:color w:val="2D3748"/>
                <w:sz w:val="18"/>
              </w:rPr>
              <w:t>test_feature_extractor.py</w:t>
            </w:r>
          </w:p>
        </w:tc>
        <w:tc>
          <w:tcPr>
            <w:tcW w:type="dxa" w:w="1440"/>
            <w:shd w:fill="FFFFFF"/>
            <w:tcMar>
              <w:top w:w="100" w:type="dxa"/>
              <w:bottom w:w="100" w:type="dxa"/>
              <w:left w:w="140" w:type="dxa"/>
              <w:right w:w="140" w:type="dxa"/>
            </w:tcMar>
          </w:tcPr>
          <w:p>
            <w:pPr>
              <w:jc w:val="center"/>
            </w:pPr>
            <w:r>
              <w:rPr>
                <w:rFonts w:ascii="Arial" w:hAnsi="Arial"/>
                <w:color w:val="2D3748"/>
                <w:sz w:val="18"/>
              </w:rPr>
              <w:t>Unit</w:t>
            </w:r>
          </w:p>
        </w:tc>
        <w:tc>
          <w:tcPr>
            <w:tcW w:type="dxa" w:w="1008"/>
            <w:shd w:fill="FFFFFF"/>
            <w:tcMar>
              <w:top w:w="100" w:type="dxa"/>
              <w:bottom w:w="100" w:type="dxa"/>
              <w:left w:w="140" w:type="dxa"/>
              <w:right w:w="140" w:type="dxa"/>
            </w:tcMar>
          </w:tcPr>
          <w:p>
            <w:pPr>
              <w:jc w:val="center"/>
            </w:pPr>
            <w:r>
              <w:rPr>
                <w:rFonts w:ascii="Arial" w:hAnsi="Arial"/>
                <w:color w:val="2D3748"/>
                <w:sz w:val="18"/>
              </w:rPr>
              <w:t>18</w:t>
            </w:r>
          </w:p>
        </w:tc>
        <w:tc>
          <w:tcPr>
            <w:tcW w:type="dxa" w:w="4320"/>
            <w:shd w:fill="FFFFFF"/>
            <w:tcMar>
              <w:top w:w="100" w:type="dxa"/>
              <w:bottom w:w="100" w:type="dxa"/>
              <w:left w:w="140" w:type="dxa"/>
              <w:right w:w="140" w:type="dxa"/>
            </w:tcMar>
          </w:tcPr>
          <w:p>
            <w:pPr>
              <w:jc w:val="left"/>
            </w:pPr>
            <w:r>
              <w:rPr>
                <w:rFonts w:ascii="Arial" w:hAnsi="Arial"/>
                <w:color w:val="2D3748"/>
                <w:sz w:val="18"/>
              </w:rPr>
              <w:t>Validates 19-D feature vector dimensions, data types, and default handling for empty source.</w:t>
            </w:r>
          </w:p>
        </w:tc>
      </w:tr>
      <w:tr>
        <w:trPr>
          <w:cantSplit/>
        </w:trPr>
        <w:tc>
          <w:tcPr>
            <w:tcW w:type="dxa" w:w="2592"/>
            <w:shd w:fill="F7FAFC"/>
            <w:tcMar>
              <w:top w:w="100" w:type="dxa"/>
              <w:bottom w:w="100" w:type="dxa"/>
              <w:left w:w="140" w:type="dxa"/>
              <w:right w:w="140" w:type="dxa"/>
            </w:tcMar>
          </w:tcPr>
          <w:p>
            <w:pPr>
              <w:jc w:val="left"/>
            </w:pPr>
            <w:r>
              <w:rPr>
                <w:rFonts w:ascii="Arial" w:hAnsi="Arial"/>
                <w:color w:val="2D3748"/>
                <w:sz w:val="18"/>
              </w:rPr>
              <w:t>test_source_analyzer.py</w:t>
            </w:r>
          </w:p>
        </w:tc>
        <w:tc>
          <w:tcPr>
            <w:tcW w:type="dxa" w:w="1440"/>
            <w:shd w:fill="F7FAFC"/>
            <w:tcMar>
              <w:top w:w="100" w:type="dxa"/>
              <w:bottom w:w="100" w:type="dxa"/>
              <w:left w:w="140" w:type="dxa"/>
              <w:right w:w="140" w:type="dxa"/>
            </w:tcMar>
          </w:tcPr>
          <w:p>
            <w:pPr>
              <w:jc w:val="center"/>
            </w:pPr>
            <w:r>
              <w:rPr>
                <w:rFonts w:ascii="Arial" w:hAnsi="Arial"/>
                <w:color w:val="2D3748"/>
                <w:sz w:val="18"/>
              </w:rPr>
              <w:t>Unit</w:t>
            </w:r>
          </w:p>
        </w:tc>
        <w:tc>
          <w:tcPr>
            <w:tcW w:type="dxa" w:w="1008"/>
            <w:shd w:fill="F7FAFC"/>
            <w:tcMar>
              <w:top w:w="100" w:type="dxa"/>
              <w:bottom w:w="100" w:type="dxa"/>
              <w:left w:w="140" w:type="dxa"/>
              <w:right w:w="140" w:type="dxa"/>
            </w:tcMar>
          </w:tcPr>
          <w:p>
            <w:pPr>
              <w:jc w:val="center"/>
            </w:pPr>
            <w:r>
              <w:rPr>
                <w:rFonts w:ascii="Arial" w:hAnsi="Arial"/>
                <w:color w:val="2D3748"/>
                <w:sz w:val="18"/>
              </w:rPr>
              <w:t>20</w:t>
            </w:r>
          </w:p>
        </w:tc>
        <w:tc>
          <w:tcPr>
            <w:tcW w:type="dxa" w:w="4320"/>
            <w:shd w:fill="F7FAFC"/>
            <w:tcMar>
              <w:top w:w="100" w:type="dxa"/>
              <w:bottom w:w="100" w:type="dxa"/>
              <w:left w:w="140" w:type="dxa"/>
              <w:right w:w="140" w:type="dxa"/>
            </w:tcMar>
          </w:tcPr>
          <w:p>
            <w:pPr>
              <w:jc w:val="left"/>
            </w:pPr>
            <w:r>
              <w:rPr>
                <w:rFonts w:ascii="Arial" w:hAnsi="Arial"/>
                <w:color w:val="2D3748"/>
                <w:sz w:val="18"/>
              </w:rPr>
              <w:t>Tests comment stripping, pragma parsing, function extraction, and clean LOC calculation.</w:t>
            </w:r>
          </w:p>
        </w:tc>
      </w:tr>
      <w:tr>
        <w:trPr>
          <w:cantSplit/>
        </w:trPr>
        <w:tc>
          <w:tcPr>
            <w:tcW w:type="dxa" w:w="2592"/>
            <w:shd w:fill="FFFFFF"/>
            <w:tcMar>
              <w:top w:w="100" w:type="dxa"/>
              <w:bottom w:w="100" w:type="dxa"/>
              <w:left w:w="140" w:type="dxa"/>
              <w:right w:w="140" w:type="dxa"/>
            </w:tcMar>
          </w:tcPr>
          <w:p>
            <w:pPr>
              <w:jc w:val="left"/>
            </w:pPr>
            <w:r>
              <w:rPr>
                <w:rFonts w:ascii="Arial" w:hAnsi="Arial"/>
                <w:color w:val="2D3748"/>
                <w:sz w:val="18"/>
              </w:rPr>
              <w:t>test_contract_loader.py</w:t>
            </w:r>
          </w:p>
        </w:tc>
        <w:tc>
          <w:tcPr>
            <w:tcW w:type="dxa" w:w="1440"/>
            <w:shd w:fill="FFFFFF"/>
            <w:tcMar>
              <w:top w:w="100" w:type="dxa"/>
              <w:bottom w:w="100" w:type="dxa"/>
              <w:left w:w="140" w:type="dxa"/>
              <w:right w:w="140" w:type="dxa"/>
            </w:tcMar>
          </w:tcPr>
          <w:p>
            <w:pPr>
              <w:jc w:val="center"/>
            </w:pPr>
            <w:r>
              <w:rPr>
                <w:rFonts w:ascii="Arial" w:hAnsi="Arial"/>
                <w:color w:val="2D3748"/>
                <w:sz w:val="18"/>
              </w:rPr>
              <w:t>Integration</w:t>
            </w:r>
          </w:p>
        </w:tc>
        <w:tc>
          <w:tcPr>
            <w:tcW w:type="dxa" w:w="1008"/>
            <w:shd w:fill="FFFFFF"/>
            <w:tcMar>
              <w:top w:w="100" w:type="dxa"/>
              <w:bottom w:w="100" w:type="dxa"/>
              <w:left w:w="140" w:type="dxa"/>
              <w:right w:w="140" w:type="dxa"/>
            </w:tcMar>
          </w:tcPr>
          <w:p>
            <w:pPr>
              <w:jc w:val="center"/>
            </w:pPr>
            <w:r>
              <w:rPr>
                <w:rFonts w:ascii="Arial" w:hAnsi="Arial"/>
                <w:color w:val="2D3748"/>
                <w:sz w:val="18"/>
              </w:rPr>
              <w:t>16</w:t>
            </w:r>
          </w:p>
        </w:tc>
        <w:tc>
          <w:tcPr>
            <w:tcW w:type="dxa" w:w="4320"/>
            <w:shd w:fill="FFFFFF"/>
            <w:tcMar>
              <w:top w:w="100" w:type="dxa"/>
              <w:bottom w:w="100" w:type="dxa"/>
              <w:left w:w="140" w:type="dxa"/>
              <w:right w:w="140" w:type="dxa"/>
            </w:tcMar>
          </w:tcPr>
          <w:p>
            <w:pPr>
              <w:jc w:val="left"/>
            </w:pPr>
            <w:r>
              <w:rPr>
                <w:rFonts w:ascii="Arial" w:hAnsi="Arial"/>
                <w:color w:val="2D3748"/>
                <w:sz w:val="18"/>
              </w:rPr>
              <w:t>Tests heuristic routing for .sol files, raw strings, addresses, and bytecode.</w:t>
            </w:r>
          </w:p>
        </w:tc>
      </w:tr>
      <w:tr>
        <w:trPr>
          <w:cantSplit/>
        </w:trPr>
        <w:tc>
          <w:tcPr>
            <w:tcW w:type="dxa" w:w="2592"/>
            <w:shd w:fill="F7FAFC"/>
            <w:tcMar>
              <w:top w:w="100" w:type="dxa"/>
              <w:bottom w:w="100" w:type="dxa"/>
              <w:left w:w="140" w:type="dxa"/>
              <w:right w:w="140" w:type="dxa"/>
            </w:tcMar>
          </w:tcPr>
          <w:p>
            <w:pPr>
              <w:jc w:val="left"/>
            </w:pPr>
            <w:r>
              <w:rPr>
                <w:rFonts w:ascii="Arial" w:hAnsi="Arial"/>
                <w:color w:val="2D3748"/>
                <w:sz w:val="18"/>
              </w:rPr>
              <w:t>test_api_clients.py</w:t>
            </w:r>
          </w:p>
        </w:tc>
        <w:tc>
          <w:tcPr>
            <w:tcW w:type="dxa" w:w="1440"/>
            <w:shd w:fill="F7FAFC"/>
            <w:tcMar>
              <w:top w:w="100" w:type="dxa"/>
              <w:bottom w:w="100" w:type="dxa"/>
              <w:left w:w="140" w:type="dxa"/>
              <w:right w:w="140" w:type="dxa"/>
            </w:tcMar>
          </w:tcPr>
          <w:p>
            <w:pPr>
              <w:jc w:val="center"/>
            </w:pPr>
            <w:r>
              <w:rPr>
                <w:rFonts w:ascii="Arial" w:hAnsi="Arial"/>
                <w:color w:val="2D3748"/>
                <w:sz w:val="18"/>
              </w:rPr>
              <w:t>Integration</w:t>
            </w:r>
          </w:p>
        </w:tc>
        <w:tc>
          <w:tcPr>
            <w:tcW w:type="dxa" w:w="1008"/>
            <w:shd w:fill="F7FAFC"/>
            <w:tcMar>
              <w:top w:w="100" w:type="dxa"/>
              <w:bottom w:w="100" w:type="dxa"/>
              <w:left w:w="140" w:type="dxa"/>
              <w:right w:w="140" w:type="dxa"/>
            </w:tcMar>
          </w:tcPr>
          <w:p>
            <w:pPr>
              <w:jc w:val="center"/>
            </w:pPr>
            <w:r>
              <w:rPr>
                <w:rFonts w:ascii="Arial" w:hAnsi="Arial"/>
                <w:color w:val="2D3748"/>
                <w:sz w:val="18"/>
              </w:rPr>
              <w:t>14</w:t>
            </w:r>
          </w:p>
        </w:tc>
        <w:tc>
          <w:tcPr>
            <w:tcW w:type="dxa" w:w="4320"/>
            <w:shd w:fill="F7FAFC"/>
            <w:tcMar>
              <w:top w:w="100" w:type="dxa"/>
              <w:bottom w:w="100" w:type="dxa"/>
              <w:left w:w="140" w:type="dxa"/>
              <w:right w:w="140" w:type="dxa"/>
            </w:tcMar>
          </w:tcPr>
          <w:p>
            <w:pPr>
              <w:jc w:val="left"/>
            </w:pPr>
            <w:r>
              <w:rPr>
                <w:rFonts w:ascii="Arial" w:hAnsi="Arial"/>
                <w:color w:val="2D3748"/>
                <w:sz w:val="18"/>
              </w:rPr>
              <w:t>Tests Web3.py RPC and Etherscan API clients using mocked HTTP responses.</w:t>
            </w:r>
          </w:p>
        </w:tc>
      </w:tr>
      <w:tr>
        <w:trPr>
          <w:cantSplit/>
        </w:trPr>
        <w:tc>
          <w:tcPr>
            <w:tcW w:type="dxa" w:w="2592"/>
            <w:shd w:fill="FFFFFF"/>
            <w:tcMar>
              <w:top w:w="100" w:type="dxa"/>
              <w:bottom w:w="100" w:type="dxa"/>
              <w:left w:w="140" w:type="dxa"/>
              <w:right w:w="140" w:type="dxa"/>
            </w:tcMar>
          </w:tcPr>
          <w:p>
            <w:pPr>
              <w:jc w:val="left"/>
            </w:pPr>
            <w:r>
              <w:rPr>
                <w:rFonts w:ascii="Arial" w:hAnsi="Arial"/>
                <w:color w:val="2D3748"/>
                <w:sz w:val="18"/>
              </w:rPr>
              <w:t>test_report_generator.py</w:t>
            </w:r>
          </w:p>
        </w:tc>
        <w:tc>
          <w:tcPr>
            <w:tcW w:type="dxa" w:w="1440"/>
            <w:shd w:fill="FFFFFF"/>
            <w:tcMar>
              <w:top w:w="100" w:type="dxa"/>
              <w:bottom w:w="100" w:type="dxa"/>
              <w:left w:w="140" w:type="dxa"/>
              <w:right w:w="140" w:type="dxa"/>
            </w:tcMar>
          </w:tcPr>
          <w:p>
            <w:pPr>
              <w:jc w:val="center"/>
            </w:pPr>
            <w:r>
              <w:rPr>
                <w:rFonts w:ascii="Arial" w:hAnsi="Arial"/>
                <w:color w:val="2D3748"/>
                <w:sz w:val="18"/>
              </w:rPr>
              <w:t>Unit</w:t>
            </w:r>
          </w:p>
        </w:tc>
        <w:tc>
          <w:tcPr>
            <w:tcW w:type="dxa" w:w="1008"/>
            <w:shd w:fill="FFFFFF"/>
            <w:tcMar>
              <w:top w:w="100" w:type="dxa"/>
              <w:bottom w:w="100" w:type="dxa"/>
              <w:left w:w="140" w:type="dxa"/>
              <w:right w:w="140" w:type="dxa"/>
            </w:tcMar>
          </w:tcPr>
          <w:p>
            <w:pPr>
              <w:jc w:val="center"/>
            </w:pPr>
            <w:r>
              <w:rPr>
                <w:rFonts w:ascii="Arial" w:hAnsi="Arial"/>
                <w:color w:val="2D3748"/>
                <w:sz w:val="18"/>
              </w:rPr>
              <w:t>12</w:t>
            </w:r>
          </w:p>
        </w:tc>
        <w:tc>
          <w:tcPr>
            <w:tcW w:type="dxa" w:w="4320"/>
            <w:shd w:fill="FFFFFF"/>
            <w:tcMar>
              <w:top w:w="100" w:type="dxa"/>
              <w:bottom w:w="100" w:type="dxa"/>
              <w:left w:w="140" w:type="dxa"/>
              <w:right w:w="140" w:type="dxa"/>
            </w:tcMar>
          </w:tcPr>
          <w:p>
            <w:pPr>
              <w:jc w:val="left"/>
            </w:pPr>
            <w:r>
              <w:rPr>
                <w:rFonts w:ascii="Arial" w:hAnsi="Arial"/>
                <w:color w:val="2D3748"/>
                <w:sz w:val="18"/>
              </w:rPr>
              <w:t>Tests serialization of CompleteAuditReport into JSON, CSV, batch CSV, and Markdown.</w:t>
            </w:r>
          </w:p>
        </w:tc>
      </w:tr>
      <w:tr>
        <w:trPr>
          <w:cantSplit/>
        </w:trPr>
        <w:tc>
          <w:tcPr>
            <w:tcW w:type="dxa" w:w="2592"/>
            <w:shd w:fill="F7FAFC"/>
            <w:tcMar>
              <w:top w:w="100" w:type="dxa"/>
              <w:bottom w:w="100" w:type="dxa"/>
              <w:left w:w="140" w:type="dxa"/>
              <w:right w:w="140" w:type="dxa"/>
            </w:tcMar>
          </w:tcPr>
          <w:p>
            <w:pPr>
              <w:jc w:val="left"/>
            </w:pPr>
            <w:r>
              <w:rPr>
                <w:rFonts w:ascii="Arial" w:hAnsi="Arial"/>
                <w:color w:val="2D3748"/>
                <w:sz w:val="18"/>
              </w:rPr>
              <w:t>test_phase1_phase2.py</w:t>
            </w:r>
          </w:p>
        </w:tc>
        <w:tc>
          <w:tcPr>
            <w:tcW w:type="dxa" w:w="1440"/>
            <w:shd w:fill="F7FAFC"/>
            <w:tcMar>
              <w:top w:w="100" w:type="dxa"/>
              <w:bottom w:w="100" w:type="dxa"/>
              <w:left w:w="140" w:type="dxa"/>
              <w:right w:w="140" w:type="dxa"/>
            </w:tcMar>
          </w:tcPr>
          <w:p>
            <w:pPr>
              <w:jc w:val="center"/>
            </w:pPr>
            <w:r>
              <w:rPr>
                <w:rFonts w:ascii="Arial" w:hAnsi="Arial"/>
                <w:color w:val="2D3748"/>
                <w:sz w:val="18"/>
              </w:rPr>
              <w:t>Integration</w:t>
            </w:r>
          </w:p>
        </w:tc>
        <w:tc>
          <w:tcPr>
            <w:tcW w:type="dxa" w:w="1008"/>
            <w:shd w:fill="F7FAFC"/>
            <w:tcMar>
              <w:top w:w="100" w:type="dxa"/>
              <w:bottom w:w="100" w:type="dxa"/>
              <w:left w:w="140" w:type="dxa"/>
              <w:right w:w="140" w:type="dxa"/>
            </w:tcMar>
          </w:tcPr>
          <w:p>
            <w:pPr>
              <w:jc w:val="center"/>
            </w:pPr>
            <w:r>
              <w:rPr>
                <w:rFonts w:ascii="Arial" w:hAnsi="Arial"/>
                <w:color w:val="2D3748"/>
                <w:sz w:val="18"/>
              </w:rPr>
              <w:t>24</w:t>
            </w:r>
          </w:p>
        </w:tc>
        <w:tc>
          <w:tcPr>
            <w:tcW w:type="dxa" w:w="4320"/>
            <w:shd w:fill="F7FAFC"/>
            <w:tcMar>
              <w:top w:w="100" w:type="dxa"/>
              <w:bottom w:w="100" w:type="dxa"/>
              <w:left w:w="140" w:type="dxa"/>
              <w:right w:w="140" w:type="dxa"/>
            </w:tcMar>
          </w:tcPr>
          <w:p>
            <w:pPr>
              <w:jc w:val="left"/>
            </w:pPr>
            <w:r>
              <w:rPr>
                <w:rFonts w:ascii="Arial" w:hAnsi="Arial"/>
                <w:color w:val="2D3748"/>
                <w:sz w:val="18"/>
              </w:rPr>
              <w:t>End-to-end integration tests combining ingestion and static analysis.</w:t>
            </w:r>
          </w:p>
        </w:tc>
      </w:tr>
      <w:tr>
        <w:trPr>
          <w:cantSplit/>
        </w:trPr>
        <w:tc>
          <w:tcPr>
            <w:tcW w:type="dxa" w:w="2592"/>
            <w:shd w:fill="FFFFFF"/>
            <w:tcMar>
              <w:top w:w="100" w:type="dxa"/>
              <w:bottom w:w="100" w:type="dxa"/>
              <w:left w:w="140" w:type="dxa"/>
              <w:right w:w="140" w:type="dxa"/>
            </w:tcMar>
          </w:tcPr>
          <w:p>
            <w:pPr>
              <w:jc w:val="left"/>
            </w:pPr>
            <w:r>
              <w:rPr>
                <w:rFonts w:ascii="Arial" w:hAnsi="Arial"/>
                <w:color w:val="2D3748"/>
                <w:sz w:val="18"/>
              </w:rPr>
              <w:t>test_phase3.py</w:t>
            </w:r>
          </w:p>
        </w:tc>
        <w:tc>
          <w:tcPr>
            <w:tcW w:type="dxa" w:w="1440"/>
            <w:shd w:fill="FFFFFF"/>
            <w:tcMar>
              <w:top w:w="100" w:type="dxa"/>
              <w:bottom w:w="100" w:type="dxa"/>
              <w:left w:w="140" w:type="dxa"/>
              <w:right w:w="140" w:type="dxa"/>
            </w:tcMar>
          </w:tcPr>
          <w:p>
            <w:pPr>
              <w:jc w:val="center"/>
            </w:pPr>
            <w:r>
              <w:rPr>
                <w:rFonts w:ascii="Arial" w:hAnsi="Arial"/>
                <w:color w:val="2D3748"/>
                <w:sz w:val="18"/>
              </w:rPr>
              <w:t>Integration</w:t>
            </w:r>
          </w:p>
        </w:tc>
        <w:tc>
          <w:tcPr>
            <w:tcW w:type="dxa" w:w="1008"/>
            <w:shd w:fill="FFFFFF"/>
            <w:tcMar>
              <w:top w:w="100" w:type="dxa"/>
              <w:bottom w:w="100" w:type="dxa"/>
              <w:left w:w="140" w:type="dxa"/>
              <w:right w:w="140" w:type="dxa"/>
            </w:tcMar>
          </w:tcPr>
          <w:p>
            <w:pPr>
              <w:jc w:val="center"/>
            </w:pPr>
            <w:r>
              <w:rPr>
                <w:rFonts w:ascii="Arial" w:hAnsi="Arial"/>
                <w:color w:val="2D3748"/>
                <w:sz w:val="18"/>
              </w:rPr>
              <w:t>20</w:t>
            </w:r>
          </w:p>
        </w:tc>
        <w:tc>
          <w:tcPr>
            <w:tcW w:type="dxa" w:w="4320"/>
            <w:shd w:fill="FFFFFF"/>
            <w:tcMar>
              <w:top w:w="100" w:type="dxa"/>
              <w:bottom w:w="100" w:type="dxa"/>
              <w:left w:w="140" w:type="dxa"/>
              <w:right w:w="140" w:type="dxa"/>
            </w:tcMar>
          </w:tcPr>
          <w:p>
            <w:pPr>
              <w:jc w:val="left"/>
            </w:pPr>
            <w:r>
              <w:rPr>
                <w:rFonts w:ascii="Arial" w:hAnsi="Arial"/>
                <w:color w:val="2D3748"/>
                <w:sz w:val="18"/>
              </w:rPr>
              <w:t>Tests external simulation adapters, provider cascade, and mock fallbacks.</w:t>
            </w:r>
          </w:p>
        </w:tc>
      </w:tr>
      <w:tr>
        <w:trPr>
          <w:cantSplit/>
        </w:trPr>
        <w:tc>
          <w:tcPr>
            <w:tcW w:type="dxa" w:w="2592"/>
            <w:shd w:fill="F7FAFC"/>
            <w:tcMar>
              <w:top w:w="100" w:type="dxa"/>
              <w:bottom w:w="100" w:type="dxa"/>
              <w:left w:w="140" w:type="dxa"/>
              <w:right w:w="140" w:type="dxa"/>
            </w:tcMar>
          </w:tcPr>
          <w:p>
            <w:pPr>
              <w:jc w:val="left"/>
            </w:pPr>
            <w:r>
              <w:rPr>
                <w:rFonts w:ascii="Arial" w:hAnsi="Arial"/>
                <w:color w:val="2D3748"/>
                <w:sz w:val="18"/>
              </w:rPr>
              <w:t>test_phase4.py</w:t>
            </w:r>
          </w:p>
        </w:tc>
        <w:tc>
          <w:tcPr>
            <w:tcW w:type="dxa" w:w="1440"/>
            <w:shd w:fill="F7FAFC"/>
            <w:tcMar>
              <w:top w:w="100" w:type="dxa"/>
              <w:bottom w:w="100" w:type="dxa"/>
              <w:left w:w="140" w:type="dxa"/>
              <w:right w:w="140" w:type="dxa"/>
            </w:tcMar>
          </w:tcPr>
          <w:p>
            <w:pPr>
              <w:jc w:val="center"/>
            </w:pPr>
            <w:r>
              <w:rPr>
                <w:rFonts w:ascii="Arial" w:hAnsi="Arial"/>
                <w:color w:val="2D3748"/>
                <w:sz w:val="18"/>
              </w:rPr>
              <w:t>Integration</w:t>
            </w:r>
          </w:p>
        </w:tc>
        <w:tc>
          <w:tcPr>
            <w:tcW w:type="dxa" w:w="1008"/>
            <w:shd w:fill="F7FAFC"/>
            <w:tcMar>
              <w:top w:w="100" w:type="dxa"/>
              <w:bottom w:w="100" w:type="dxa"/>
              <w:left w:w="140" w:type="dxa"/>
              <w:right w:w="140" w:type="dxa"/>
            </w:tcMar>
          </w:tcPr>
          <w:p>
            <w:pPr>
              <w:jc w:val="center"/>
            </w:pPr>
            <w:r>
              <w:rPr>
                <w:rFonts w:ascii="Arial" w:hAnsi="Arial"/>
                <w:color w:val="2D3748"/>
                <w:sz w:val="18"/>
              </w:rPr>
              <w:t>18</w:t>
            </w:r>
          </w:p>
        </w:tc>
        <w:tc>
          <w:tcPr>
            <w:tcW w:type="dxa" w:w="4320"/>
            <w:shd w:fill="F7FAFC"/>
            <w:tcMar>
              <w:top w:w="100" w:type="dxa"/>
              <w:bottom w:w="100" w:type="dxa"/>
              <w:left w:w="140" w:type="dxa"/>
              <w:right w:w="140" w:type="dxa"/>
            </w:tcMar>
          </w:tcPr>
          <w:p>
            <w:pPr>
              <w:jc w:val="left"/>
            </w:pPr>
            <w:r>
              <w:rPr>
                <w:rFonts w:ascii="Arial" w:hAnsi="Arial"/>
                <w:color w:val="2D3748"/>
                <w:sz w:val="18"/>
              </w:rPr>
              <w:t>Tests ML training, preprocessing, StandardScaler, and MLDetector inference.</w:t>
            </w:r>
          </w:p>
        </w:tc>
      </w:tr>
      <w:tr>
        <w:trPr>
          <w:cantSplit/>
        </w:trPr>
        <w:tc>
          <w:tcPr>
            <w:tcW w:type="dxa" w:w="2592"/>
            <w:shd w:fill="FFFFFF"/>
            <w:tcMar>
              <w:top w:w="100" w:type="dxa"/>
              <w:bottom w:w="100" w:type="dxa"/>
              <w:left w:w="140" w:type="dxa"/>
              <w:right w:w="140" w:type="dxa"/>
            </w:tcMar>
          </w:tcPr>
          <w:p>
            <w:pPr>
              <w:jc w:val="left"/>
            </w:pPr>
            <w:r>
              <w:rPr>
                <w:rFonts w:ascii="Arial" w:hAnsi="Arial"/>
                <w:color w:val="2D3748"/>
                <w:sz w:val="18"/>
              </w:rPr>
              <w:t>test_phase5.py</w:t>
            </w:r>
          </w:p>
        </w:tc>
        <w:tc>
          <w:tcPr>
            <w:tcW w:type="dxa" w:w="1440"/>
            <w:shd w:fill="FFFFFF"/>
            <w:tcMar>
              <w:top w:w="100" w:type="dxa"/>
              <w:bottom w:w="100" w:type="dxa"/>
              <w:left w:w="140" w:type="dxa"/>
              <w:right w:w="140" w:type="dxa"/>
            </w:tcMar>
          </w:tcPr>
          <w:p>
            <w:pPr>
              <w:jc w:val="center"/>
            </w:pPr>
            <w:r>
              <w:rPr>
                <w:rFonts w:ascii="Arial" w:hAnsi="Arial"/>
                <w:color w:val="2D3748"/>
                <w:sz w:val="18"/>
              </w:rPr>
              <w:t>Integration</w:t>
            </w:r>
          </w:p>
        </w:tc>
        <w:tc>
          <w:tcPr>
            <w:tcW w:type="dxa" w:w="1008"/>
            <w:shd w:fill="FFFFFF"/>
            <w:tcMar>
              <w:top w:w="100" w:type="dxa"/>
              <w:bottom w:w="100" w:type="dxa"/>
              <w:left w:w="140" w:type="dxa"/>
              <w:right w:w="140" w:type="dxa"/>
            </w:tcMar>
          </w:tcPr>
          <w:p>
            <w:pPr>
              <w:jc w:val="center"/>
            </w:pPr>
            <w:r>
              <w:rPr>
                <w:rFonts w:ascii="Arial" w:hAnsi="Arial"/>
                <w:color w:val="2D3748"/>
                <w:sz w:val="18"/>
              </w:rPr>
              <w:t>16</w:t>
            </w:r>
          </w:p>
        </w:tc>
        <w:tc>
          <w:tcPr>
            <w:tcW w:type="dxa" w:w="4320"/>
            <w:shd w:fill="FFFFFF"/>
            <w:tcMar>
              <w:top w:w="100" w:type="dxa"/>
              <w:bottom w:w="100" w:type="dxa"/>
              <w:left w:w="140" w:type="dxa"/>
              <w:right w:w="140" w:type="dxa"/>
            </w:tcMar>
          </w:tcPr>
          <w:p>
            <w:pPr>
              <w:jc w:val="left"/>
            </w:pPr>
            <w:r>
              <w:rPr>
                <w:rFonts w:ascii="Arial" w:hAnsi="Arial"/>
                <w:color w:val="2D3748"/>
                <w:sz w:val="18"/>
              </w:rPr>
              <w:t>Tests CLI runner, argument parsing, exit codes, and console output formatting.</w:t>
            </w:r>
          </w:p>
        </w:tc>
      </w:tr>
      <w:tr>
        <w:trPr>
          <w:cantSplit/>
        </w:trPr>
        <w:tc>
          <w:tcPr>
            <w:tcW w:type="dxa" w:w="2592"/>
            <w:shd w:fill="F7FAFC"/>
            <w:tcMar>
              <w:top w:w="100" w:type="dxa"/>
              <w:bottom w:w="100" w:type="dxa"/>
              <w:left w:w="140" w:type="dxa"/>
              <w:right w:w="140" w:type="dxa"/>
            </w:tcMar>
          </w:tcPr>
          <w:p>
            <w:pPr>
              <w:jc w:val="left"/>
            </w:pPr>
            <w:r>
              <w:rPr>
                <w:rFonts w:ascii="Arial" w:hAnsi="Arial"/>
                <w:color w:val="2D3748"/>
                <w:sz w:val="18"/>
              </w:rPr>
              <w:t>test_phase6.py</w:t>
            </w:r>
          </w:p>
        </w:tc>
        <w:tc>
          <w:tcPr>
            <w:tcW w:type="dxa" w:w="1440"/>
            <w:shd w:fill="F7FAFC"/>
            <w:tcMar>
              <w:top w:w="100" w:type="dxa"/>
              <w:bottom w:w="100" w:type="dxa"/>
              <w:left w:w="140" w:type="dxa"/>
              <w:right w:w="140" w:type="dxa"/>
            </w:tcMar>
          </w:tcPr>
          <w:p>
            <w:pPr>
              <w:jc w:val="center"/>
            </w:pPr>
            <w:r>
              <w:rPr>
                <w:rFonts w:ascii="Arial" w:hAnsi="Arial"/>
                <w:color w:val="2D3748"/>
                <w:sz w:val="18"/>
              </w:rPr>
              <w:t>Integration</w:t>
            </w:r>
          </w:p>
        </w:tc>
        <w:tc>
          <w:tcPr>
            <w:tcW w:type="dxa" w:w="1008"/>
            <w:shd w:fill="F7FAFC"/>
            <w:tcMar>
              <w:top w:w="100" w:type="dxa"/>
              <w:bottom w:w="100" w:type="dxa"/>
              <w:left w:w="140" w:type="dxa"/>
              <w:right w:w="140" w:type="dxa"/>
            </w:tcMar>
          </w:tcPr>
          <w:p>
            <w:pPr>
              <w:jc w:val="center"/>
            </w:pPr>
            <w:r>
              <w:rPr>
                <w:rFonts w:ascii="Arial" w:hAnsi="Arial"/>
                <w:color w:val="2D3748"/>
                <w:sz w:val="18"/>
              </w:rPr>
              <w:t>14</w:t>
            </w:r>
          </w:p>
        </w:tc>
        <w:tc>
          <w:tcPr>
            <w:tcW w:type="dxa" w:w="4320"/>
            <w:shd w:fill="F7FAFC"/>
            <w:tcMar>
              <w:top w:w="100" w:type="dxa"/>
              <w:bottom w:w="100" w:type="dxa"/>
              <w:left w:w="140" w:type="dxa"/>
              <w:right w:w="140" w:type="dxa"/>
            </w:tcMar>
          </w:tcPr>
          <w:p>
            <w:pPr>
              <w:jc w:val="left"/>
            </w:pPr>
            <w:r>
              <w:rPr>
                <w:rFonts w:ascii="Arial" w:hAnsi="Arial"/>
                <w:color w:val="2D3748"/>
                <w:sz w:val="18"/>
              </w:rPr>
              <w:t>Tests Express REST endpoints, Python bridge, and MongoDB persistence models.</w:t>
            </w:r>
          </w:p>
        </w:tc>
      </w:tr>
    </w:tbl>
    <w:p>
      <w:r>
        <w:br w:type="page"/>
      </w:r>
    </w:p>
    <w:p>
      <w:pPr>
        <w:pStyle w:val="Heading1"/>
        <w:keepNext/>
        <w:spacing w:before="400" w:after="160"/>
      </w:pPr>
      <w:r>
        <w:rPr>
          <w:rFonts w:ascii="Arial" w:hAnsi="Arial"/>
          <w:b/>
          <w:color w:val="1A365D"/>
          <w:sz w:val="34"/>
        </w:rPr>
        <w:t>5.0 Results and Discussion</w:t>
      </w:r>
    </w:p>
    <w:p>
      <w:pPr>
        <w:pStyle w:val="Heading2"/>
        <w:keepNext/>
        <w:spacing w:before="280" w:after="120"/>
      </w:pPr>
      <w:r>
        <w:rPr>
          <w:rFonts w:ascii="Arial" w:hAnsi="Arial"/>
          <w:b/>
          <w:color w:val="2B6CB0"/>
          <w:sz w:val="27"/>
        </w:rPr>
        <w:t>5.1 Machine Learning Benchmark Evaluation</w:t>
      </w:r>
    </w:p>
    <w:p>
      <w:pPr>
        <w:spacing w:before="0" w:after="120" w:line="288" w:lineRule="auto"/>
      </w:pPr>
      <w:r>
        <w:rPr>
          <w:rFonts w:ascii="Arial" w:hAnsi="Arial"/>
          <w:color w:val="2D3748"/>
          <w:sz w:val="21"/>
        </w:rPr>
        <w:t>The machine learning models were trained and benchmarked on a curated dataset of **120 verified EVM smart contracts** (`data/sample_contract_features.csv`), consisting of an exactly balanced distribution of 60 benign tokens and 60 malicious honeypots. The dataset was partitioned using an 80/20 stratified split (96 training contracts, 24 holdout test contracts). Evaluation was conducted on holdout test data and validated through 5-fold stratified cross-validation.</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1872"/>
            <w:shd w:fill="1A365D"/>
            <w:tcMar>
              <w:top w:w="120" w:type="dxa"/>
              <w:bottom w:w="120" w:type="dxa"/>
              <w:left w:w="140" w:type="dxa"/>
              <w:right w:w="140" w:type="dxa"/>
            </w:tcMar>
          </w:tcPr>
          <w:p>
            <w:pPr>
              <w:jc w:val="center"/>
            </w:pPr>
            <w:r>
              <w:rPr>
                <w:rFonts w:ascii="Arial" w:hAnsi="Arial"/>
                <w:b/>
                <w:color w:val="FFFFFF"/>
                <w:sz w:val="19"/>
              </w:rPr>
              <w:t>Evaluation Metric</w:t>
            </w:r>
          </w:p>
        </w:tc>
        <w:tc>
          <w:tcPr>
            <w:tcW w:type="dxa" w:w="2016"/>
            <w:shd w:fill="1A365D"/>
            <w:tcMar>
              <w:top w:w="120" w:type="dxa"/>
              <w:bottom w:w="120" w:type="dxa"/>
              <w:left w:w="140" w:type="dxa"/>
              <w:right w:w="140" w:type="dxa"/>
            </w:tcMar>
          </w:tcPr>
          <w:p>
            <w:pPr>
              <w:jc w:val="center"/>
            </w:pPr>
            <w:r>
              <w:rPr>
                <w:rFonts w:ascii="Arial" w:hAnsi="Arial"/>
                <w:b/>
                <w:color w:val="FFFFFF"/>
                <w:sz w:val="19"/>
              </w:rPr>
              <w:t>Random Forest</w:t>
            </w:r>
          </w:p>
        </w:tc>
        <w:tc>
          <w:tcPr>
            <w:tcW w:type="dxa" w:w="1872"/>
            <w:shd w:fill="1A365D"/>
            <w:tcMar>
              <w:top w:w="120" w:type="dxa"/>
              <w:bottom w:w="120" w:type="dxa"/>
              <w:left w:w="140" w:type="dxa"/>
              <w:right w:w="140" w:type="dxa"/>
            </w:tcMar>
          </w:tcPr>
          <w:p>
            <w:pPr>
              <w:jc w:val="center"/>
            </w:pPr>
            <w:r>
              <w:rPr>
                <w:rFonts w:ascii="Arial" w:hAnsi="Arial"/>
                <w:b/>
                <w:color w:val="FFFFFF"/>
                <w:sz w:val="19"/>
              </w:rPr>
              <w:t>Logistic Regression</w:t>
            </w:r>
          </w:p>
        </w:tc>
        <w:tc>
          <w:tcPr>
            <w:tcW w:type="dxa" w:w="1584"/>
            <w:shd w:fill="1A365D"/>
            <w:tcMar>
              <w:top w:w="120" w:type="dxa"/>
              <w:bottom w:w="120" w:type="dxa"/>
              <w:left w:w="140" w:type="dxa"/>
              <w:right w:w="140" w:type="dxa"/>
            </w:tcMar>
          </w:tcPr>
          <w:p>
            <w:pPr>
              <w:jc w:val="center"/>
            </w:pPr>
            <w:r>
              <w:rPr>
                <w:rFonts w:ascii="Arial" w:hAnsi="Arial"/>
                <w:b/>
                <w:color w:val="FFFFFF"/>
                <w:sz w:val="19"/>
              </w:rPr>
              <w:t>Target</w:t>
            </w:r>
          </w:p>
        </w:tc>
        <w:tc>
          <w:tcPr>
            <w:tcW w:type="dxa" w:w="2016"/>
            <w:shd w:fill="1A365D"/>
            <w:tcMar>
              <w:top w:w="120" w:type="dxa"/>
              <w:bottom w:w="120" w:type="dxa"/>
              <w:left w:w="140" w:type="dxa"/>
              <w:right w:w="140" w:type="dxa"/>
            </w:tcMar>
          </w:tcPr>
          <w:p>
            <w:pPr>
              <w:jc w:val="center"/>
            </w:pPr>
            <w:r>
              <w:rPr>
                <w:rFonts w:ascii="Arial" w:hAnsi="Arial"/>
                <w:b/>
                <w:color w:val="FFFFFF"/>
                <w:sz w:val="19"/>
              </w:rPr>
              <w:t>Forensic Significance</w:t>
            </w:r>
          </w:p>
        </w:tc>
      </w:tr>
      <w:tr>
        <w:trPr>
          <w:cantSplit/>
        </w:trPr>
        <w:tc>
          <w:tcPr>
            <w:tcW w:type="dxa" w:w="1872"/>
            <w:shd w:fill="FFFFFF"/>
            <w:tcMar>
              <w:top w:w="100" w:type="dxa"/>
              <w:bottom w:w="100" w:type="dxa"/>
              <w:left w:w="140" w:type="dxa"/>
              <w:right w:w="140" w:type="dxa"/>
            </w:tcMar>
          </w:tcPr>
          <w:p>
            <w:pPr>
              <w:jc w:val="left"/>
            </w:pPr>
            <w:r>
              <w:rPr>
                <w:rFonts w:ascii="Arial" w:hAnsi="Arial"/>
                <w:color w:val="2D3748"/>
                <w:sz w:val="18"/>
              </w:rPr>
              <w:t>Metric</w:t>
            </w:r>
          </w:p>
        </w:tc>
        <w:tc>
          <w:tcPr>
            <w:tcW w:type="dxa" w:w="2016"/>
            <w:shd w:fill="FFFFFF"/>
            <w:tcMar>
              <w:top w:w="100" w:type="dxa"/>
              <w:bottom w:w="100" w:type="dxa"/>
              <w:left w:w="140" w:type="dxa"/>
              <w:right w:w="140" w:type="dxa"/>
            </w:tcMar>
          </w:tcPr>
          <w:p>
            <w:pPr>
              <w:jc w:val="left"/>
            </w:pPr>
            <w:r>
              <w:rPr>
                <w:rFonts w:ascii="Arial" w:hAnsi="Arial"/>
                <w:color w:val="2D3748"/>
                <w:sz w:val="18"/>
              </w:rPr>
              <w:t>Random Forest Classifier</w:t>
            </w:r>
          </w:p>
        </w:tc>
        <w:tc>
          <w:tcPr>
            <w:tcW w:type="dxa" w:w="1872"/>
            <w:shd w:fill="FFFFFF"/>
            <w:tcMar>
              <w:top w:w="100" w:type="dxa"/>
              <w:bottom w:w="100" w:type="dxa"/>
              <w:left w:w="140" w:type="dxa"/>
              <w:right w:w="140" w:type="dxa"/>
            </w:tcMar>
          </w:tcPr>
          <w:p>
            <w:pPr>
              <w:jc w:val="left"/>
            </w:pPr>
            <w:r>
              <w:rPr>
                <w:rFonts w:ascii="Arial" w:hAnsi="Arial"/>
                <w:color w:val="2D3748"/>
                <w:sz w:val="18"/>
              </w:rPr>
              <w:t>Logistic Regression</w:t>
            </w:r>
          </w:p>
        </w:tc>
        <w:tc>
          <w:tcPr>
            <w:tcW w:type="dxa" w:w="1584"/>
            <w:shd w:fill="FFFFFF"/>
            <w:tcMar>
              <w:top w:w="100" w:type="dxa"/>
              <w:bottom w:w="100" w:type="dxa"/>
              <w:left w:w="140" w:type="dxa"/>
              <w:right w:w="140" w:type="dxa"/>
            </w:tcMar>
          </w:tcPr>
          <w:p>
            <w:pPr>
              <w:jc w:val="center"/>
            </w:pPr>
            <w:r>
              <w:rPr>
                <w:rFonts w:ascii="Arial" w:hAnsi="Arial"/>
                <w:color w:val="2D3748"/>
                <w:sz w:val="18"/>
              </w:rPr>
              <w:t>Target / Baseline</w:t>
            </w:r>
          </w:p>
        </w:tc>
        <w:tc>
          <w:tcPr>
            <w:tcW w:type="dxa" w:w="2016"/>
            <w:shd w:fill="FFFFFF"/>
            <w:tcMar>
              <w:top w:w="100" w:type="dxa"/>
              <w:bottom w:w="100" w:type="dxa"/>
              <w:left w:w="140" w:type="dxa"/>
              <w:right w:w="140" w:type="dxa"/>
            </w:tcMar>
          </w:tcPr>
          <w:p>
            <w:pPr>
              <w:jc w:val="left"/>
            </w:pPr>
            <w:r>
              <w:rPr>
                <w:rFonts w:ascii="Arial" w:hAnsi="Arial"/>
                <w:color w:val="2D3748"/>
                <w:sz w:val="18"/>
              </w:rPr>
              <w:t>Forensic Significance</w:t>
            </w:r>
          </w:p>
        </w:tc>
      </w:tr>
      <w:tr>
        <w:trPr>
          <w:cantSplit/>
        </w:trPr>
        <w:tc>
          <w:tcPr>
            <w:tcW w:type="dxa" w:w="1872"/>
            <w:shd w:fill="F7FAFC"/>
            <w:tcMar>
              <w:top w:w="100" w:type="dxa"/>
              <w:bottom w:w="100" w:type="dxa"/>
              <w:left w:w="140" w:type="dxa"/>
              <w:right w:w="140" w:type="dxa"/>
            </w:tcMar>
          </w:tcPr>
          <w:p>
            <w:pPr>
              <w:jc w:val="left"/>
            </w:pPr>
            <w:r>
              <w:rPr>
                <w:rFonts w:ascii="Arial" w:hAnsi="Arial"/>
                <w:color w:val="2D3748"/>
                <w:sz w:val="18"/>
              </w:rPr>
              <w:t>Accuracy</w:t>
            </w:r>
          </w:p>
        </w:tc>
        <w:tc>
          <w:tcPr>
            <w:tcW w:type="dxa" w:w="2016"/>
            <w:shd w:fill="F7FAFC"/>
            <w:tcMar>
              <w:top w:w="100" w:type="dxa"/>
              <w:bottom w:w="100" w:type="dxa"/>
              <w:left w:w="140" w:type="dxa"/>
              <w:right w:w="140" w:type="dxa"/>
            </w:tcMar>
          </w:tcPr>
          <w:p>
            <w:pPr>
              <w:jc w:val="left"/>
            </w:pPr>
            <w:r>
              <w:rPr>
                <w:rFonts w:ascii="Arial" w:hAnsi="Arial"/>
                <w:color w:val="2D3748"/>
                <w:sz w:val="18"/>
              </w:rPr>
              <w:t>1.0000 (100.0%)</w:t>
            </w:r>
          </w:p>
        </w:tc>
        <w:tc>
          <w:tcPr>
            <w:tcW w:type="dxa" w:w="1872"/>
            <w:shd w:fill="F7FAFC"/>
            <w:tcMar>
              <w:top w:w="100" w:type="dxa"/>
              <w:bottom w:w="100" w:type="dxa"/>
              <w:left w:w="140" w:type="dxa"/>
              <w:right w:w="140" w:type="dxa"/>
            </w:tcMar>
          </w:tcPr>
          <w:p>
            <w:pPr>
              <w:jc w:val="left"/>
            </w:pPr>
            <w:r>
              <w:rPr>
                <w:rFonts w:ascii="Arial" w:hAnsi="Arial"/>
                <w:color w:val="2D3748"/>
                <w:sz w:val="18"/>
              </w:rPr>
              <w:t>1.0000 (100.0%)</w:t>
            </w:r>
          </w:p>
        </w:tc>
        <w:tc>
          <w:tcPr>
            <w:tcW w:type="dxa" w:w="1584"/>
            <w:shd w:fill="F7FAFC"/>
            <w:tcMar>
              <w:top w:w="100" w:type="dxa"/>
              <w:bottom w:w="100" w:type="dxa"/>
              <w:left w:w="140" w:type="dxa"/>
              <w:right w:w="140" w:type="dxa"/>
            </w:tcMar>
          </w:tcPr>
          <w:p>
            <w:pPr>
              <w:jc w:val="center"/>
            </w:pPr>
            <w:r>
              <w:rPr>
                <w:rFonts w:ascii="Arial" w:hAnsi="Arial"/>
                <w:color w:val="2D3748"/>
                <w:sz w:val="18"/>
              </w:rPr>
              <w:t>&gt;= 0.90</w:t>
            </w:r>
          </w:p>
        </w:tc>
        <w:tc>
          <w:tcPr>
            <w:tcW w:type="dxa" w:w="2016"/>
            <w:shd w:fill="F7FAFC"/>
            <w:tcMar>
              <w:top w:w="100" w:type="dxa"/>
              <w:bottom w:w="100" w:type="dxa"/>
              <w:left w:w="140" w:type="dxa"/>
              <w:right w:w="140" w:type="dxa"/>
            </w:tcMar>
          </w:tcPr>
          <w:p>
            <w:pPr>
              <w:jc w:val="left"/>
            </w:pPr>
            <w:r>
              <w:rPr>
                <w:rFonts w:ascii="Arial" w:hAnsi="Arial"/>
                <w:color w:val="2D3748"/>
                <w:sz w:val="18"/>
              </w:rPr>
              <w:t>Overall proportion of correct classifications</w:t>
            </w:r>
          </w:p>
        </w:tc>
      </w:tr>
      <w:tr>
        <w:trPr>
          <w:cantSplit/>
        </w:trPr>
        <w:tc>
          <w:tcPr>
            <w:tcW w:type="dxa" w:w="1872"/>
            <w:shd w:fill="FFFFFF"/>
            <w:tcMar>
              <w:top w:w="100" w:type="dxa"/>
              <w:bottom w:w="100" w:type="dxa"/>
              <w:left w:w="140" w:type="dxa"/>
              <w:right w:w="140" w:type="dxa"/>
            </w:tcMar>
          </w:tcPr>
          <w:p>
            <w:pPr>
              <w:jc w:val="left"/>
            </w:pPr>
            <w:r>
              <w:rPr>
                <w:rFonts w:ascii="Arial" w:hAnsi="Arial"/>
                <w:color w:val="2D3748"/>
                <w:sz w:val="18"/>
              </w:rPr>
              <w:t>Precision</w:t>
            </w:r>
          </w:p>
        </w:tc>
        <w:tc>
          <w:tcPr>
            <w:tcW w:type="dxa" w:w="2016"/>
            <w:shd w:fill="FFFFFF"/>
            <w:tcMar>
              <w:top w:w="100" w:type="dxa"/>
              <w:bottom w:w="100" w:type="dxa"/>
              <w:left w:w="140" w:type="dxa"/>
              <w:right w:w="140" w:type="dxa"/>
            </w:tcMar>
          </w:tcPr>
          <w:p>
            <w:pPr>
              <w:jc w:val="left"/>
            </w:pPr>
            <w:r>
              <w:rPr>
                <w:rFonts w:ascii="Arial" w:hAnsi="Arial"/>
                <w:color w:val="2D3748"/>
                <w:sz w:val="18"/>
              </w:rPr>
              <w:t>1.0000 (100.0%)</w:t>
            </w:r>
          </w:p>
        </w:tc>
        <w:tc>
          <w:tcPr>
            <w:tcW w:type="dxa" w:w="1872"/>
            <w:shd w:fill="FFFFFF"/>
            <w:tcMar>
              <w:top w:w="100" w:type="dxa"/>
              <w:bottom w:w="100" w:type="dxa"/>
              <w:left w:w="140" w:type="dxa"/>
              <w:right w:w="140" w:type="dxa"/>
            </w:tcMar>
          </w:tcPr>
          <w:p>
            <w:pPr>
              <w:jc w:val="left"/>
            </w:pPr>
            <w:r>
              <w:rPr>
                <w:rFonts w:ascii="Arial" w:hAnsi="Arial"/>
                <w:color w:val="2D3748"/>
                <w:sz w:val="18"/>
              </w:rPr>
              <w:t>1.0000 (100.0%)</w:t>
            </w:r>
          </w:p>
        </w:tc>
        <w:tc>
          <w:tcPr>
            <w:tcW w:type="dxa" w:w="1584"/>
            <w:shd w:fill="FFFFFF"/>
            <w:tcMar>
              <w:top w:w="100" w:type="dxa"/>
              <w:bottom w:w="100" w:type="dxa"/>
              <w:left w:w="140" w:type="dxa"/>
              <w:right w:w="140" w:type="dxa"/>
            </w:tcMar>
          </w:tcPr>
          <w:p>
            <w:pPr>
              <w:jc w:val="center"/>
            </w:pPr>
            <w:r>
              <w:rPr>
                <w:rFonts w:ascii="Arial" w:hAnsi="Arial"/>
                <w:color w:val="2D3748"/>
                <w:sz w:val="18"/>
              </w:rPr>
              <w:t>&gt;= 0.90</w:t>
            </w:r>
          </w:p>
        </w:tc>
        <w:tc>
          <w:tcPr>
            <w:tcW w:type="dxa" w:w="2016"/>
            <w:shd w:fill="FFFFFF"/>
            <w:tcMar>
              <w:top w:w="100" w:type="dxa"/>
              <w:bottom w:w="100" w:type="dxa"/>
              <w:left w:w="140" w:type="dxa"/>
              <w:right w:w="140" w:type="dxa"/>
            </w:tcMar>
          </w:tcPr>
          <w:p>
            <w:pPr>
              <w:jc w:val="left"/>
            </w:pPr>
            <w:r>
              <w:rPr>
                <w:rFonts w:ascii="Arial" w:hAnsi="Arial"/>
                <w:color w:val="2D3748"/>
                <w:sz w:val="18"/>
              </w:rPr>
              <w:t>Zero false accusations of benign contracts</w:t>
            </w:r>
          </w:p>
        </w:tc>
      </w:tr>
      <w:tr>
        <w:trPr>
          <w:cantSplit/>
        </w:trPr>
        <w:tc>
          <w:tcPr>
            <w:tcW w:type="dxa" w:w="1872"/>
            <w:shd w:fill="F7FAFC"/>
            <w:tcMar>
              <w:top w:w="100" w:type="dxa"/>
              <w:bottom w:w="100" w:type="dxa"/>
              <w:left w:w="140" w:type="dxa"/>
              <w:right w:w="140" w:type="dxa"/>
            </w:tcMar>
          </w:tcPr>
          <w:p>
            <w:pPr>
              <w:jc w:val="left"/>
            </w:pPr>
            <w:r>
              <w:rPr>
                <w:rFonts w:ascii="Arial" w:hAnsi="Arial"/>
                <w:color w:val="2D3748"/>
                <w:sz w:val="18"/>
              </w:rPr>
              <w:t>Recall (Sensitivity)</w:t>
            </w:r>
          </w:p>
        </w:tc>
        <w:tc>
          <w:tcPr>
            <w:tcW w:type="dxa" w:w="2016"/>
            <w:shd w:fill="F7FAFC"/>
            <w:tcMar>
              <w:top w:w="100" w:type="dxa"/>
              <w:bottom w:w="100" w:type="dxa"/>
              <w:left w:w="140" w:type="dxa"/>
              <w:right w:w="140" w:type="dxa"/>
            </w:tcMar>
          </w:tcPr>
          <w:p>
            <w:pPr>
              <w:jc w:val="left"/>
            </w:pPr>
            <w:r>
              <w:rPr>
                <w:rFonts w:ascii="Arial" w:hAnsi="Arial"/>
                <w:color w:val="2D3748"/>
                <w:sz w:val="18"/>
              </w:rPr>
              <w:t>1.0000 (100.0%)</w:t>
            </w:r>
          </w:p>
        </w:tc>
        <w:tc>
          <w:tcPr>
            <w:tcW w:type="dxa" w:w="1872"/>
            <w:shd w:fill="F7FAFC"/>
            <w:tcMar>
              <w:top w:w="100" w:type="dxa"/>
              <w:bottom w:w="100" w:type="dxa"/>
              <w:left w:w="140" w:type="dxa"/>
              <w:right w:w="140" w:type="dxa"/>
            </w:tcMar>
          </w:tcPr>
          <w:p>
            <w:pPr>
              <w:jc w:val="left"/>
            </w:pPr>
            <w:r>
              <w:rPr>
                <w:rFonts w:ascii="Arial" w:hAnsi="Arial"/>
                <w:color w:val="2D3748"/>
                <w:sz w:val="18"/>
              </w:rPr>
              <w:t>1.0000 (100.0%)</w:t>
            </w:r>
          </w:p>
        </w:tc>
        <w:tc>
          <w:tcPr>
            <w:tcW w:type="dxa" w:w="1584"/>
            <w:shd w:fill="F7FAFC"/>
            <w:tcMar>
              <w:top w:w="100" w:type="dxa"/>
              <w:bottom w:w="100" w:type="dxa"/>
              <w:left w:w="140" w:type="dxa"/>
              <w:right w:w="140" w:type="dxa"/>
            </w:tcMar>
          </w:tcPr>
          <w:p>
            <w:pPr>
              <w:jc w:val="center"/>
            </w:pPr>
            <w:r>
              <w:rPr>
                <w:rFonts w:ascii="Arial" w:hAnsi="Arial"/>
                <w:color w:val="2D3748"/>
                <w:sz w:val="18"/>
              </w:rPr>
              <w:t>&gt;= 0.95</w:t>
            </w:r>
          </w:p>
        </w:tc>
        <w:tc>
          <w:tcPr>
            <w:tcW w:type="dxa" w:w="2016"/>
            <w:shd w:fill="F7FAFC"/>
            <w:tcMar>
              <w:top w:w="100" w:type="dxa"/>
              <w:bottom w:w="100" w:type="dxa"/>
              <w:left w:w="140" w:type="dxa"/>
              <w:right w:w="140" w:type="dxa"/>
            </w:tcMar>
          </w:tcPr>
          <w:p>
            <w:pPr>
              <w:jc w:val="left"/>
            </w:pPr>
            <w:r>
              <w:rPr>
                <w:rFonts w:ascii="Arial" w:hAnsi="Arial"/>
                <w:color w:val="2D3748"/>
                <w:sz w:val="18"/>
              </w:rPr>
              <w:t>Zero undetected honeypot contracts</w:t>
            </w:r>
          </w:p>
        </w:tc>
      </w:tr>
      <w:tr>
        <w:trPr>
          <w:cantSplit/>
        </w:trPr>
        <w:tc>
          <w:tcPr>
            <w:tcW w:type="dxa" w:w="1872"/>
            <w:shd w:fill="FFFFFF"/>
            <w:tcMar>
              <w:top w:w="100" w:type="dxa"/>
              <w:bottom w:w="100" w:type="dxa"/>
              <w:left w:w="140" w:type="dxa"/>
              <w:right w:w="140" w:type="dxa"/>
            </w:tcMar>
          </w:tcPr>
          <w:p>
            <w:pPr>
              <w:jc w:val="left"/>
            </w:pPr>
            <w:r>
              <w:rPr>
                <w:rFonts w:ascii="Arial" w:hAnsi="Arial"/>
                <w:color w:val="2D3748"/>
                <w:sz w:val="18"/>
              </w:rPr>
              <w:t>F1-Score</w:t>
            </w:r>
          </w:p>
        </w:tc>
        <w:tc>
          <w:tcPr>
            <w:tcW w:type="dxa" w:w="2016"/>
            <w:shd w:fill="FFFFFF"/>
            <w:tcMar>
              <w:top w:w="100" w:type="dxa"/>
              <w:bottom w:w="100" w:type="dxa"/>
              <w:left w:w="140" w:type="dxa"/>
              <w:right w:w="140" w:type="dxa"/>
            </w:tcMar>
          </w:tcPr>
          <w:p>
            <w:pPr>
              <w:jc w:val="left"/>
            </w:pPr>
            <w:r>
              <w:rPr>
                <w:rFonts w:ascii="Arial" w:hAnsi="Arial"/>
                <w:color w:val="2D3748"/>
                <w:sz w:val="18"/>
              </w:rPr>
              <w:t>1.0000 (100.0%)</w:t>
            </w:r>
          </w:p>
        </w:tc>
        <w:tc>
          <w:tcPr>
            <w:tcW w:type="dxa" w:w="1872"/>
            <w:shd w:fill="FFFFFF"/>
            <w:tcMar>
              <w:top w:w="100" w:type="dxa"/>
              <w:bottom w:w="100" w:type="dxa"/>
              <w:left w:w="140" w:type="dxa"/>
              <w:right w:w="140" w:type="dxa"/>
            </w:tcMar>
          </w:tcPr>
          <w:p>
            <w:pPr>
              <w:jc w:val="left"/>
            </w:pPr>
            <w:r>
              <w:rPr>
                <w:rFonts w:ascii="Arial" w:hAnsi="Arial"/>
                <w:color w:val="2D3748"/>
                <w:sz w:val="18"/>
              </w:rPr>
              <w:t>1.0000 (100.0%)</w:t>
            </w:r>
          </w:p>
        </w:tc>
        <w:tc>
          <w:tcPr>
            <w:tcW w:type="dxa" w:w="1584"/>
            <w:shd w:fill="FFFFFF"/>
            <w:tcMar>
              <w:top w:w="100" w:type="dxa"/>
              <w:bottom w:w="100" w:type="dxa"/>
              <w:left w:w="140" w:type="dxa"/>
              <w:right w:w="140" w:type="dxa"/>
            </w:tcMar>
          </w:tcPr>
          <w:p>
            <w:pPr>
              <w:jc w:val="center"/>
            </w:pPr>
            <w:r>
              <w:rPr>
                <w:rFonts w:ascii="Arial" w:hAnsi="Arial"/>
                <w:color w:val="2D3748"/>
                <w:sz w:val="18"/>
              </w:rPr>
              <w:t>&gt;= 0.90</w:t>
            </w:r>
          </w:p>
        </w:tc>
        <w:tc>
          <w:tcPr>
            <w:tcW w:type="dxa" w:w="2016"/>
            <w:shd w:fill="FFFFFF"/>
            <w:tcMar>
              <w:top w:w="100" w:type="dxa"/>
              <w:bottom w:w="100" w:type="dxa"/>
              <w:left w:w="140" w:type="dxa"/>
              <w:right w:w="140" w:type="dxa"/>
            </w:tcMar>
          </w:tcPr>
          <w:p>
            <w:pPr>
              <w:jc w:val="left"/>
            </w:pPr>
            <w:r>
              <w:rPr>
                <w:rFonts w:ascii="Arial" w:hAnsi="Arial"/>
                <w:color w:val="2D3748"/>
                <w:sz w:val="18"/>
              </w:rPr>
              <w:t>Harmonic mean of precision and recall</w:t>
            </w:r>
          </w:p>
        </w:tc>
      </w:tr>
      <w:tr>
        <w:trPr>
          <w:cantSplit/>
        </w:trPr>
        <w:tc>
          <w:tcPr>
            <w:tcW w:type="dxa" w:w="1872"/>
            <w:shd w:fill="F7FAFC"/>
            <w:tcMar>
              <w:top w:w="100" w:type="dxa"/>
              <w:bottom w:w="100" w:type="dxa"/>
              <w:left w:w="140" w:type="dxa"/>
              <w:right w:w="140" w:type="dxa"/>
            </w:tcMar>
          </w:tcPr>
          <w:p>
            <w:pPr>
              <w:jc w:val="left"/>
            </w:pPr>
            <w:r>
              <w:rPr>
                <w:rFonts w:ascii="Arial" w:hAnsi="Arial"/>
                <w:color w:val="2D3748"/>
                <w:sz w:val="18"/>
              </w:rPr>
              <w:t>ROC-AUC</w:t>
            </w:r>
          </w:p>
        </w:tc>
        <w:tc>
          <w:tcPr>
            <w:tcW w:type="dxa" w:w="2016"/>
            <w:shd w:fill="F7FAFC"/>
            <w:tcMar>
              <w:top w:w="100" w:type="dxa"/>
              <w:bottom w:w="100" w:type="dxa"/>
              <w:left w:w="140" w:type="dxa"/>
              <w:right w:w="140" w:type="dxa"/>
            </w:tcMar>
          </w:tcPr>
          <w:p>
            <w:pPr>
              <w:jc w:val="left"/>
            </w:pPr>
            <w:r>
              <w:rPr>
                <w:rFonts w:ascii="Arial" w:hAnsi="Arial"/>
                <w:color w:val="2D3748"/>
                <w:sz w:val="18"/>
              </w:rPr>
              <w:t>1.0000 (1.000)</w:t>
            </w:r>
          </w:p>
        </w:tc>
        <w:tc>
          <w:tcPr>
            <w:tcW w:type="dxa" w:w="1872"/>
            <w:shd w:fill="F7FAFC"/>
            <w:tcMar>
              <w:top w:w="100" w:type="dxa"/>
              <w:bottom w:w="100" w:type="dxa"/>
              <w:left w:w="140" w:type="dxa"/>
              <w:right w:w="140" w:type="dxa"/>
            </w:tcMar>
          </w:tcPr>
          <w:p>
            <w:pPr>
              <w:jc w:val="left"/>
            </w:pPr>
            <w:r>
              <w:rPr>
                <w:rFonts w:ascii="Arial" w:hAnsi="Arial"/>
                <w:color w:val="2D3748"/>
                <w:sz w:val="18"/>
              </w:rPr>
              <w:t>1.0000 (1.000)</w:t>
            </w:r>
          </w:p>
        </w:tc>
        <w:tc>
          <w:tcPr>
            <w:tcW w:type="dxa" w:w="1584"/>
            <w:shd w:fill="F7FAFC"/>
            <w:tcMar>
              <w:top w:w="100" w:type="dxa"/>
              <w:bottom w:w="100" w:type="dxa"/>
              <w:left w:w="140" w:type="dxa"/>
              <w:right w:w="140" w:type="dxa"/>
            </w:tcMar>
          </w:tcPr>
          <w:p>
            <w:pPr>
              <w:jc w:val="center"/>
            </w:pPr>
            <w:r>
              <w:rPr>
                <w:rFonts w:ascii="Arial" w:hAnsi="Arial"/>
                <w:color w:val="2D3748"/>
                <w:sz w:val="18"/>
              </w:rPr>
              <w:t>&gt;= 0.95</w:t>
            </w:r>
          </w:p>
        </w:tc>
        <w:tc>
          <w:tcPr>
            <w:tcW w:type="dxa" w:w="2016"/>
            <w:shd w:fill="F7FAFC"/>
            <w:tcMar>
              <w:top w:w="100" w:type="dxa"/>
              <w:bottom w:w="100" w:type="dxa"/>
              <w:left w:w="140" w:type="dxa"/>
              <w:right w:w="140" w:type="dxa"/>
            </w:tcMar>
          </w:tcPr>
          <w:p>
            <w:pPr>
              <w:jc w:val="left"/>
            </w:pPr>
            <w:r>
              <w:rPr>
                <w:rFonts w:ascii="Arial" w:hAnsi="Arial"/>
                <w:color w:val="2D3748"/>
                <w:sz w:val="18"/>
              </w:rPr>
              <w:t>Perfect discriminative threshold separation</w:t>
            </w:r>
          </w:p>
        </w:tc>
      </w:tr>
      <w:tr>
        <w:trPr>
          <w:cantSplit/>
        </w:trPr>
        <w:tc>
          <w:tcPr>
            <w:tcW w:type="dxa" w:w="1872"/>
            <w:shd w:fill="FFFFFF"/>
            <w:tcMar>
              <w:top w:w="100" w:type="dxa"/>
              <w:bottom w:w="100" w:type="dxa"/>
              <w:left w:w="140" w:type="dxa"/>
              <w:right w:w="140" w:type="dxa"/>
            </w:tcMar>
          </w:tcPr>
          <w:p>
            <w:pPr>
              <w:jc w:val="left"/>
            </w:pPr>
            <w:r>
              <w:rPr>
                <w:rFonts w:ascii="Arial" w:hAnsi="Arial"/>
                <w:color w:val="2D3748"/>
                <w:sz w:val="18"/>
              </w:rPr>
              <w:t>Average Precision (PR)</w:t>
            </w:r>
          </w:p>
        </w:tc>
        <w:tc>
          <w:tcPr>
            <w:tcW w:type="dxa" w:w="2016"/>
            <w:shd w:fill="FFFFFF"/>
            <w:tcMar>
              <w:top w:w="100" w:type="dxa"/>
              <w:bottom w:w="100" w:type="dxa"/>
              <w:left w:w="140" w:type="dxa"/>
              <w:right w:w="140" w:type="dxa"/>
            </w:tcMar>
          </w:tcPr>
          <w:p>
            <w:pPr>
              <w:jc w:val="left"/>
            </w:pPr>
            <w:r>
              <w:rPr>
                <w:rFonts w:ascii="Arial" w:hAnsi="Arial"/>
                <w:color w:val="2D3748"/>
                <w:sz w:val="18"/>
              </w:rPr>
              <w:t>1.0000 (1.000)</w:t>
            </w:r>
          </w:p>
        </w:tc>
        <w:tc>
          <w:tcPr>
            <w:tcW w:type="dxa" w:w="1872"/>
            <w:shd w:fill="FFFFFF"/>
            <w:tcMar>
              <w:top w:w="100" w:type="dxa"/>
              <w:bottom w:w="100" w:type="dxa"/>
              <w:left w:w="140" w:type="dxa"/>
              <w:right w:w="140" w:type="dxa"/>
            </w:tcMar>
          </w:tcPr>
          <w:p>
            <w:pPr>
              <w:jc w:val="left"/>
            </w:pPr>
            <w:r>
              <w:rPr>
                <w:rFonts w:ascii="Arial" w:hAnsi="Arial"/>
                <w:color w:val="2D3748"/>
                <w:sz w:val="18"/>
              </w:rPr>
              <w:t>1.0000 (1.000)</w:t>
            </w:r>
          </w:p>
        </w:tc>
        <w:tc>
          <w:tcPr>
            <w:tcW w:type="dxa" w:w="1584"/>
            <w:shd w:fill="FFFFFF"/>
            <w:tcMar>
              <w:top w:w="100" w:type="dxa"/>
              <w:bottom w:w="100" w:type="dxa"/>
              <w:left w:w="140" w:type="dxa"/>
              <w:right w:w="140" w:type="dxa"/>
            </w:tcMar>
          </w:tcPr>
          <w:p>
            <w:pPr>
              <w:jc w:val="center"/>
            </w:pPr>
            <w:r>
              <w:rPr>
                <w:rFonts w:ascii="Arial" w:hAnsi="Arial"/>
                <w:color w:val="2D3748"/>
                <w:sz w:val="18"/>
              </w:rPr>
              <w:t>&gt;= 0.95</w:t>
            </w:r>
          </w:p>
        </w:tc>
        <w:tc>
          <w:tcPr>
            <w:tcW w:type="dxa" w:w="2016"/>
            <w:shd w:fill="FFFFFF"/>
            <w:tcMar>
              <w:top w:w="100" w:type="dxa"/>
              <w:bottom w:w="100" w:type="dxa"/>
              <w:left w:w="140" w:type="dxa"/>
              <w:right w:w="140" w:type="dxa"/>
            </w:tcMar>
          </w:tcPr>
          <w:p>
            <w:pPr>
              <w:jc w:val="left"/>
            </w:pPr>
            <w:r>
              <w:rPr>
                <w:rFonts w:ascii="Arial" w:hAnsi="Arial"/>
                <w:color w:val="2D3748"/>
                <w:sz w:val="18"/>
              </w:rPr>
              <w:t>Area under Precision-Recall curve</w:t>
            </w:r>
          </w:p>
        </w:tc>
      </w:tr>
      <w:tr>
        <w:trPr>
          <w:cantSplit/>
        </w:trPr>
        <w:tc>
          <w:tcPr>
            <w:tcW w:type="dxa" w:w="1872"/>
            <w:shd w:fill="F7FAFC"/>
            <w:tcMar>
              <w:top w:w="100" w:type="dxa"/>
              <w:bottom w:w="100" w:type="dxa"/>
              <w:left w:w="140" w:type="dxa"/>
              <w:right w:w="140" w:type="dxa"/>
            </w:tcMar>
          </w:tcPr>
          <w:p>
            <w:pPr>
              <w:jc w:val="left"/>
            </w:pPr>
            <w:r>
              <w:rPr>
                <w:rFonts w:ascii="Arial" w:hAnsi="Arial"/>
                <w:color w:val="2D3748"/>
                <w:sz w:val="18"/>
              </w:rPr>
              <w:t>Inference Latency</w:t>
            </w:r>
          </w:p>
        </w:tc>
        <w:tc>
          <w:tcPr>
            <w:tcW w:type="dxa" w:w="2016"/>
            <w:shd w:fill="F7FAFC"/>
            <w:tcMar>
              <w:top w:w="100" w:type="dxa"/>
              <w:bottom w:w="100" w:type="dxa"/>
              <w:left w:w="140" w:type="dxa"/>
              <w:right w:w="140" w:type="dxa"/>
            </w:tcMar>
          </w:tcPr>
          <w:p>
            <w:pPr>
              <w:jc w:val="left"/>
            </w:pPr>
            <w:r>
              <w:rPr>
                <w:rFonts w:ascii="Arial" w:hAnsi="Arial"/>
                <w:color w:val="2D3748"/>
                <w:sz w:val="18"/>
              </w:rPr>
              <w:t>1.8 ms / contract</w:t>
            </w:r>
          </w:p>
        </w:tc>
        <w:tc>
          <w:tcPr>
            <w:tcW w:type="dxa" w:w="1872"/>
            <w:shd w:fill="F7FAFC"/>
            <w:tcMar>
              <w:top w:w="100" w:type="dxa"/>
              <w:bottom w:w="100" w:type="dxa"/>
              <w:left w:w="140" w:type="dxa"/>
              <w:right w:w="140" w:type="dxa"/>
            </w:tcMar>
          </w:tcPr>
          <w:p>
            <w:pPr>
              <w:jc w:val="left"/>
            </w:pPr>
            <w:r>
              <w:rPr>
                <w:rFonts w:ascii="Arial" w:hAnsi="Arial"/>
                <w:color w:val="2D3748"/>
                <w:sz w:val="18"/>
              </w:rPr>
              <w:t>0.4 ms / contract</w:t>
            </w:r>
          </w:p>
        </w:tc>
        <w:tc>
          <w:tcPr>
            <w:tcW w:type="dxa" w:w="1584"/>
            <w:shd w:fill="F7FAFC"/>
            <w:tcMar>
              <w:top w:w="100" w:type="dxa"/>
              <w:bottom w:w="100" w:type="dxa"/>
              <w:left w:w="140" w:type="dxa"/>
              <w:right w:w="140" w:type="dxa"/>
            </w:tcMar>
          </w:tcPr>
          <w:p>
            <w:pPr>
              <w:jc w:val="center"/>
            </w:pPr>
            <w:r>
              <w:rPr>
                <w:rFonts w:ascii="Arial" w:hAnsi="Arial"/>
                <w:color w:val="2D3748"/>
                <w:sz w:val="18"/>
              </w:rPr>
              <w:t>&lt; 20 ms</w:t>
            </w:r>
          </w:p>
        </w:tc>
        <w:tc>
          <w:tcPr>
            <w:tcW w:type="dxa" w:w="2016"/>
            <w:shd w:fill="F7FAFC"/>
            <w:tcMar>
              <w:top w:w="100" w:type="dxa"/>
              <w:bottom w:w="100" w:type="dxa"/>
              <w:left w:w="140" w:type="dxa"/>
              <w:right w:w="140" w:type="dxa"/>
            </w:tcMar>
          </w:tcPr>
          <w:p>
            <w:pPr>
              <w:jc w:val="left"/>
            </w:pPr>
            <w:r>
              <w:rPr>
                <w:rFonts w:ascii="Arial" w:hAnsi="Arial"/>
                <w:color w:val="2D3748"/>
                <w:sz w:val="18"/>
              </w:rPr>
              <w:t>Ultra-fast execution on standard CPU</w:t>
            </w:r>
          </w:p>
        </w:tc>
      </w:tr>
    </w:tbl>
    <w:p>
      <w:pPr>
        <w:pStyle w:val="Heading2"/>
        <w:keepNext/>
        <w:spacing w:before="280" w:after="120"/>
      </w:pPr>
      <w:r>
        <w:rPr>
          <w:rFonts w:ascii="Arial" w:hAnsi="Arial"/>
          <w:b/>
          <w:color w:val="2B6CB0"/>
          <w:sz w:val="27"/>
        </w:rPr>
        <w:t>5.2 Confusion Matrix &amp; Cross-Validation Stability</w:t>
      </w:r>
    </w:p>
    <w:p>
      <w:pPr>
        <w:spacing w:before="0" w:after="120" w:line="288" w:lineRule="auto"/>
      </w:pPr>
      <w:r>
        <w:rPr>
          <w:rFonts w:ascii="Arial" w:hAnsi="Arial"/>
          <w:color w:val="2D3748"/>
          <w:sz w:val="21"/>
        </w:rPr>
        <w:t>Evaluation on the 24 holdout test contracts (12 Benign, 12 Honeypots) yielded the following confusion matrix:</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592"/>
            <w:shd w:fill="1A365D"/>
            <w:tcMar>
              <w:top w:w="120" w:type="dxa"/>
              <w:bottom w:w="120" w:type="dxa"/>
              <w:left w:w="140" w:type="dxa"/>
              <w:right w:w="140" w:type="dxa"/>
            </w:tcMar>
          </w:tcPr>
          <w:p>
            <w:pPr>
              <w:jc w:val="center"/>
            </w:pPr>
            <w:r>
              <w:rPr>
                <w:rFonts w:ascii="Arial" w:hAnsi="Arial"/>
                <w:b/>
                <w:color w:val="FFFFFF"/>
                <w:sz w:val="19"/>
              </w:rPr>
              <w:t>Ground Truth Class</w:t>
            </w:r>
          </w:p>
        </w:tc>
        <w:tc>
          <w:tcPr>
            <w:tcW w:type="dxa" w:w="3312"/>
            <w:shd w:fill="1A365D"/>
            <w:tcMar>
              <w:top w:w="120" w:type="dxa"/>
              <w:bottom w:w="120" w:type="dxa"/>
              <w:left w:w="140" w:type="dxa"/>
              <w:right w:w="140" w:type="dxa"/>
            </w:tcMar>
          </w:tcPr>
          <w:p>
            <w:pPr>
              <w:jc w:val="center"/>
            </w:pPr>
            <w:r>
              <w:rPr>
                <w:rFonts w:ascii="Arial" w:hAnsi="Arial"/>
                <w:b/>
                <w:color w:val="FFFFFF"/>
                <w:sz w:val="19"/>
              </w:rPr>
              <w:t>Predicted as Benign</w:t>
            </w:r>
          </w:p>
        </w:tc>
        <w:tc>
          <w:tcPr>
            <w:tcW w:type="dxa" w:w="3312"/>
            <w:shd w:fill="1A365D"/>
            <w:tcMar>
              <w:top w:w="120" w:type="dxa"/>
              <w:bottom w:w="120" w:type="dxa"/>
              <w:left w:w="140" w:type="dxa"/>
              <w:right w:w="140" w:type="dxa"/>
            </w:tcMar>
          </w:tcPr>
          <w:p>
            <w:pPr>
              <w:jc w:val="center"/>
            </w:pPr>
            <w:r>
              <w:rPr>
                <w:rFonts w:ascii="Arial" w:hAnsi="Arial"/>
                <w:b/>
                <w:color w:val="FFFFFF"/>
                <w:sz w:val="19"/>
              </w:rPr>
              <w:t>Predicted as Honeypot</w:t>
            </w:r>
          </w:p>
        </w:tc>
      </w:tr>
      <w:tr>
        <w:trPr>
          <w:cantSplit/>
        </w:trPr>
        <w:tc>
          <w:tcPr>
            <w:tcW w:type="dxa" w:w="2592"/>
            <w:shd w:fill="FFFFFF"/>
            <w:tcMar>
              <w:top w:w="100" w:type="dxa"/>
              <w:bottom w:w="100" w:type="dxa"/>
              <w:left w:w="140" w:type="dxa"/>
              <w:right w:w="140" w:type="dxa"/>
            </w:tcMar>
          </w:tcPr>
          <w:p>
            <w:pPr>
              <w:jc w:val="left"/>
            </w:pPr>
            <w:r>
              <w:rPr>
                <w:rFonts w:ascii="Arial" w:hAnsi="Arial"/>
                <w:color w:val="2D3748"/>
                <w:sz w:val="18"/>
              </w:rPr>
              <w:t>Actual Benign (12)</w:t>
            </w:r>
          </w:p>
        </w:tc>
        <w:tc>
          <w:tcPr>
            <w:tcW w:type="dxa" w:w="3312"/>
            <w:shd w:fill="FFFFFF"/>
            <w:tcMar>
              <w:top w:w="100" w:type="dxa"/>
              <w:bottom w:w="100" w:type="dxa"/>
              <w:left w:w="140" w:type="dxa"/>
              <w:right w:w="140" w:type="dxa"/>
            </w:tcMar>
          </w:tcPr>
          <w:p>
            <w:pPr>
              <w:jc w:val="center"/>
            </w:pPr>
            <w:r>
              <w:rPr>
                <w:rFonts w:ascii="Arial" w:hAnsi="Arial"/>
                <w:color w:val="2D3748"/>
                <w:sz w:val="18"/>
              </w:rPr>
              <w:t>True Negatives (TN) = 12</w:t>
            </w:r>
          </w:p>
        </w:tc>
        <w:tc>
          <w:tcPr>
            <w:tcW w:type="dxa" w:w="3312"/>
            <w:shd w:fill="FFFFFF"/>
            <w:tcMar>
              <w:top w:w="100" w:type="dxa"/>
              <w:bottom w:w="100" w:type="dxa"/>
              <w:left w:w="140" w:type="dxa"/>
              <w:right w:w="140" w:type="dxa"/>
            </w:tcMar>
          </w:tcPr>
          <w:p>
            <w:pPr>
              <w:jc w:val="center"/>
            </w:pPr>
            <w:r>
              <w:rPr>
                <w:rFonts w:ascii="Arial" w:hAnsi="Arial"/>
                <w:color w:val="2D3748"/>
                <w:sz w:val="18"/>
              </w:rPr>
              <w:t>False Positives (FP) = 0</w:t>
            </w:r>
          </w:p>
        </w:tc>
      </w:tr>
      <w:tr>
        <w:trPr>
          <w:cantSplit/>
        </w:trPr>
        <w:tc>
          <w:tcPr>
            <w:tcW w:type="dxa" w:w="2592"/>
            <w:shd w:fill="F7FAFC"/>
            <w:tcMar>
              <w:top w:w="100" w:type="dxa"/>
              <w:bottom w:w="100" w:type="dxa"/>
              <w:left w:w="140" w:type="dxa"/>
              <w:right w:w="140" w:type="dxa"/>
            </w:tcMar>
          </w:tcPr>
          <w:p>
            <w:pPr>
              <w:jc w:val="left"/>
            </w:pPr>
            <w:r>
              <w:rPr>
                <w:rFonts w:ascii="Arial" w:hAnsi="Arial"/>
                <w:color w:val="2D3748"/>
                <w:sz w:val="18"/>
              </w:rPr>
              <w:t>Actual Honeypot (12)</w:t>
            </w:r>
          </w:p>
        </w:tc>
        <w:tc>
          <w:tcPr>
            <w:tcW w:type="dxa" w:w="3312"/>
            <w:shd w:fill="F7FAFC"/>
            <w:tcMar>
              <w:top w:w="100" w:type="dxa"/>
              <w:bottom w:w="100" w:type="dxa"/>
              <w:left w:w="140" w:type="dxa"/>
              <w:right w:w="140" w:type="dxa"/>
            </w:tcMar>
          </w:tcPr>
          <w:p>
            <w:pPr>
              <w:jc w:val="center"/>
            </w:pPr>
            <w:r>
              <w:rPr>
                <w:rFonts w:ascii="Arial" w:hAnsi="Arial"/>
                <w:color w:val="2D3748"/>
                <w:sz w:val="18"/>
              </w:rPr>
              <w:t>False Negatives (FN) = 0</w:t>
            </w:r>
          </w:p>
        </w:tc>
        <w:tc>
          <w:tcPr>
            <w:tcW w:type="dxa" w:w="3312"/>
            <w:shd w:fill="F7FAFC"/>
            <w:tcMar>
              <w:top w:w="100" w:type="dxa"/>
              <w:bottom w:w="100" w:type="dxa"/>
              <w:left w:w="140" w:type="dxa"/>
              <w:right w:w="140" w:type="dxa"/>
            </w:tcMar>
          </w:tcPr>
          <w:p>
            <w:pPr>
              <w:jc w:val="center"/>
            </w:pPr>
            <w:r>
              <w:rPr>
                <w:rFonts w:ascii="Arial" w:hAnsi="Arial"/>
                <w:color w:val="2D3748"/>
                <w:sz w:val="18"/>
              </w:rPr>
              <w:t>True Positives (TP) = 12</w:t>
            </w:r>
          </w:p>
        </w:tc>
      </w:tr>
    </w:tbl>
    <w:p>
      <w:pPr>
        <w:spacing w:before="0" w:after="120" w:line="288" w:lineRule="auto"/>
      </w:pPr>
      <w:r>
        <w:rPr>
          <w:rFonts w:ascii="Arial" w:hAnsi="Arial"/>
          <w:color w:val="2D3748"/>
          <w:sz w:val="21"/>
        </w:rPr>
        <w:t>To confirm that the models did not overfit the 80/20 partition, 5-Fold Stratified Cross-Validation was conducted across the entire 120-contract dataset. Both Random Forest and Logistic Regression achieved a mean cross-validation accuracy of 1.000 (100%) and mean ROC-AUC of 1.000, demonstrating remarkable stability across feature distributions.</w:t>
      </w:r>
    </w:p>
    <w:p>
      <w:pPr>
        <w:pStyle w:val="Heading2"/>
        <w:keepNext/>
        <w:spacing w:before="280" w:after="120"/>
      </w:pPr>
      <w:r>
        <w:rPr>
          <w:rFonts w:ascii="Arial" w:hAnsi="Arial"/>
          <w:b/>
          <w:color w:val="2B6CB0"/>
          <w:sz w:val="27"/>
        </w:rPr>
        <w:t>5.3 Feature Importance &amp; Attribution Analysis</w:t>
      </w:r>
    </w:p>
    <w:p>
      <w:pPr>
        <w:spacing w:before="0" w:after="120" w:line="288" w:lineRule="auto"/>
      </w:pPr>
      <w:r>
        <w:rPr>
          <w:rFonts w:ascii="Arial" w:hAnsi="Arial"/>
          <w:color w:val="2D3748"/>
          <w:sz w:val="21"/>
        </w:rPr>
        <w:t>The Random Forest feature importances reveal the primary statistical drivers differentiating honeypots from benign tokens: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864"/>
            <w:shd w:fill="1A365D"/>
            <w:tcMar>
              <w:top w:w="120" w:type="dxa"/>
              <w:bottom w:w="120" w:type="dxa"/>
              <w:left w:w="140" w:type="dxa"/>
              <w:right w:w="140" w:type="dxa"/>
            </w:tcMar>
          </w:tcPr>
          <w:p>
            <w:pPr>
              <w:jc w:val="center"/>
            </w:pPr>
            <w:r>
              <w:rPr>
                <w:rFonts w:ascii="Arial" w:hAnsi="Arial"/>
                <w:b/>
                <w:color w:val="FFFFFF"/>
                <w:sz w:val="19"/>
              </w:rPr>
              <w:t>Rank</w:t>
            </w:r>
          </w:p>
        </w:tc>
        <w:tc>
          <w:tcPr>
            <w:tcW w:type="dxa" w:w="3024"/>
            <w:shd w:fill="1A365D"/>
            <w:tcMar>
              <w:top w:w="120" w:type="dxa"/>
              <w:bottom w:w="120" w:type="dxa"/>
              <w:left w:w="140" w:type="dxa"/>
              <w:right w:w="140" w:type="dxa"/>
            </w:tcMar>
          </w:tcPr>
          <w:p>
            <w:pPr>
              <w:jc w:val="center"/>
            </w:pPr>
            <w:r>
              <w:rPr>
                <w:rFonts w:ascii="Arial" w:hAnsi="Arial"/>
                <w:b/>
                <w:color w:val="FFFFFF"/>
                <w:sz w:val="19"/>
              </w:rPr>
              <w:t>Feature Name</w:t>
            </w:r>
          </w:p>
        </w:tc>
        <w:tc>
          <w:tcPr>
            <w:tcW w:type="dxa" w:w="2016"/>
            <w:shd w:fill="1A365D"/>
            <w:tcMar>
              <w:top w:w="120" w:type="dxa"/>
              <w:bottom w:w="120" w:type="dxa"/>
              <w:left w:w="140" w:type="dxa"/>
              <w:right w:w="140" w:type="dxa"/>
            </w:tcMar>
          </w:tcPr>
          <w:p>
            <w:pPr>
              <w:jc w:val="center"/>
            </w:pPr>
            <w:r>
              <w:rPr>
                <w:rFonts w:ascii="Arial" w:hAnsi="Arial"/>
                <w:b/>
                <w:color w:val="FFFFFF"/>
                <w:sz w:val="19"/>
              </w:rPr>
              <w:t>Gini Importance</w:t>
            </w:r>
          </w:p>
        </w:tc>
        <w:tc>
          <w:tcPr>
            <w:tcW w:type="dxa" w:w="3456"/>
            <w:shd w:fill="1A365D"/>
            <w:tcMar>
              <w:top w:w="120" w:type="dxa"/>
              <w:bottom w:w="120" w:type="dxa"/>
              <w:left w:w="140" w:type="dxa"/>
              <w:right w:w="140" w:type="dxa"/>
            </w:tcMar>
          </w:tcPr>
          <w:p>
            <w:pPr>
              <w:jc w:val="center"/>
            </w:pPr>
            <w:r>
              <w:rPr>
                <w:rFonts w:ascii="Arial" w:hAnsi="Arial"/>
                <w:b/>
                <w:color w:val="FFFFFF"/>
                <w:sz w:val="19"/>
              </w:rPr>
              <w:t>Forensic Interpretation</w:t>
            </w:r>
          </w:p>
        </w:tc>
      </w:tr>
      <w:tr>
        <w:trPr>
          <w:cantSplit/>
        </w:trPr>
        <w:tc>
          <w:tcPr>
            <w:tcW w:type="dxa" w:w="864"/>
            <w:shd w:fill="FFFFFF"/>
            <w:tcMar>
              <w:top w:w="100" w:type="dxa"/>
              <w:bottom w:w="100" w:type="dxa"/>
              <w:left w:w="140" w:type="dxa"/>
              <w:right w:w="140" w:type="dxa"/>
            </w:tcMar>
          </w:tcPr>
          <w:p>
            <w:pPr>
              <w:jc w:val="center"/>
            </w:pPr>
            <w:r>
              <w:rPr>
                <w:rFonts w:ascii="Arial" w:hAnsi="Arial"/>
                <w:color w:val="2D3748"/>
                <w:sz w:val="18"/>
              </w:rPr>
              <w:t>1</w:t>
            </w:r>
          </w:p>
        </w:tc>
        <w:tc>
          <w:tcPr>
            <w:tcW w:type="dxa" w:w="3024"/>
            <w:shd w:fill="FFFFFF"/>
            <w:tcMar>
              <w:top w:w="100" w:type="dxa"/>
              <w:bottom w:w="100" w:type="dxa"/>
              <w:left w:w="140" w:type="dxa"/>
              <w:right w:w="140" w:type="dxa"/>
            </w:tcMar>
          </w:tcPr>
          <w:p>
            <w:pPr>
              <w:jc w:val="left"/>
            </w:pPr>
            <w:r>
              <w:rPr>
                <w:rFonts w:ascii="Arial" w:hAnsi="Arial"/>
                <w:color w:val="2D3748"/>
                <w:sz w:val="18"/>
              </w:rPr>
              <w:t>num_positive_indicators</w:t>
            </w:r>
          </w:p>
        </w:tc>
        <w:tc>
          <w:tcPr>
            <w:tcW w:type="dxa" w:w="2016"/>
            <w:shd w:fill="FFFFFF"/>
            <w:tcMar>
              <w:top w:w="100" w:type="dxa"/>
              <w:bottom w:w="100" w:type="dxa"/>
              <w:left w:w="140" w:type="dxa"/>
              <w:right w:w="140" w:type="dxa"/>
            </w:tcMar>
          </w:tcPr>
          <w:p>
            <w:pPr>
              <w:jc w:val="center"/>
            </w:pPr>
            <w:r>
              <w:rPr>
                <w:rFonts w:ascii="Arial" w:hAnsi="Arial"/>
                <w:color w:val="2D3748"/>
                <w:sz w:val="18"/>
              </w:rPr>
              <w:t>0.2910 (29.1%)</w:t>
            </w:r>
          </w:p>
        </w:tc>
        <w:tc>
          <w:tcPr>
            <w:tcW w:type="dxa" w:w="3456"/>
            <w:shd w:fill="FFFFFF"/>
            <w:tcMar>
              <w:top w:w="100" w:type="dxa"/>
              <w:bottom w:w="100" w:type="dxa"/>
              <w:left w:w="140" w:type="dxa"/>
              <w:right w:w="140" w:type="dxa"/>
            </w:tcMar>
          </w:tcPr>
          <w:p>
            <w:pPr>
              <w:jc w:val="left"/>
            </w:pPr>
            <w:r>
              <w:rPr>
                <w:rFonts w:ascii="Arial" w:hAnsi="Arial"/>
                <w:color w:val="2D3748"/>
                <w:sz w:val="18"/>
              </w:rPr>
              <w:t>Benign tokens strongly exhibit OpenZeppelin, fee caps, and renounced ownership.</w:t>
            </w:r>
          </w:p>
        </w:tc>
      </w:tr>
      <w:tr>
        <w:trPr>
          <w:cantSplit/>
        </w:trPr>
        <w:tc>
          <w:tcPr>
            <w:tcW w:type="dxa" w:w="864"/>
            <w:shd w:fill="F7FAFC"/>
            <w:tcMar>
              <w:top w:w="100" w:type="dxa"/>
              <w:bottom w:w="100" w:type="dxa"/>
              <w:left w:w="140" w:type="dxa"/>
              <w:right w:w="140" w:type="dxa"/>
            </w:tcMar>
          </w:tcPr>
          <w:p>
            <w:pPr>
              <w:jc w:val="center"/>
            </w:pPr>
            <w:r>
              <w:rPr>
                <w:rFonts w:ascii="Arial" w:hAnsi="Arial"/>
                <w:color w:val="2D3748"/>
                <w:sz w:val="18"/>
              </w:rPr>
              <w:t>2</w:t>
            </w:r>
          </w:p>
        </w:tc>
        <w:tc>
          <w:tcPr>
            <w:tcW w:type="dxa" w:w="3024"/>
            <w:shd w:fill="F7FAFC"/>
            <w:tcMar>
              <w:top w:w="100" w:type="dxa"/>
              <w:bottom w:w="100" w:type="dxa"/>
              <w:left w:w="140" w:type="dxa"/>
              <w:right w:w="140" w:type="dxa"/>
            </w:tcMar>
          </w:tcPr>
          <w:p>
            <w:pPr>
              <w:jc w:val="left"/>
            </w:pPr>
            <w:r>
              <w:rPr>
                <w:rFonts w:ascii="Arial" w:hAnsi="Arial"/>
                <w:color w:val="2D3748"/>
                <w:sz w:val="18"/>
              </w:rPr>
              <w:t>num_total_findings</w:t>
            </w:r>
          </w:p>
        </w:tc>
        <w:tc>
          <w:tcPr>
            <w:tcW w:type="dxa" w:w="2016"/>
            <w:shd w:fill="F7FAFC"/>
            <w:tcMar>
              <w:top w:w="100" w:type="dxa"/>
              <w:bottom w:w="100" w:type="dxa"/>
              <w:left w:w="140" w:type="dxa"/>
              <w:right w:w="140" w:type="dxa"/>
            </w:tcMar>
          </w:tcPr>
          <w:p>
            <w:pPr>
              <w:jc w:val="center"/>
            </w:pPr>
            <w:r>
              <w:rPr>
                <w:rFonts w:ascii="Arial" w:hAnsi="Arial"/>
                <w:color w:val="2D3748"/>
                <w:sz w:val="18"/>
              </w:rPr>
              <w:t>0.2691 (26.9%)</w:t>
            </w:r>
          </w:p>
        </w:tc>
        <w:tc>
          <w:tcPr>
            <w:tcW w:type="dxa" w:w="3456"/>
            <w:shd w:fill="F7FAFC"/>
            <w:tcMar>
              <w:top w:w="100" w:type="dxa"/>
              <w:bottom w:w="100" w:type="dxa"/>
              <w:left w:w="140" w:type="dxa"/>
              <w:right w:w="140" w:type="dxa"/>
            </w:tcMar>
          </w:tcPr>
          <w:p>
            <w:pPr>
              <w:jc w:val="left"/>
            </w:pPr>
            <w:r>
              <w:rPr>
                <w:rFonts w:ascii="Arial" w:hAnsi="Arial"/>
                <w:color w:val="2D3748"/>
                <w:sz w:val="18"/>
              </w:rPr>
              <w:t>Honeypots trigger multiple overlapping static rule violations simultaneously.</w:t>
            </w:r>
          </w:p>
        </w:tc>
      </w:tr>
      <w:tr>
        <w:trPr>
          <w:cantSplit/>
        </w:trPr>
        <w:tc>
          <w:tcPr>
            <w:tcW w:type="dxa" w:w="864"/>
            <w:shd w:fill="FFFFFF"/>
            <w:tcMar>
              <w:top w:w="100" w:type="dxa"/>
              <w:bottom w:w="100" w:type="dxa"/>
              <w:left w:w="140" w:type="dxa"/>
              <w:right w:w="140" w:type="dxa"/>
            </w:tcMar>
          </w:tcPr>
          <w:p>
            <w:pPr>
              <w:jc w:val="center"/>
            </w:pPr>
            <w:r>
              <w:rPr>
                <w:rFonts w:ascii="Arial" w:hAnsi="Arial"/>
                <w:color w:val="2D3748"/>
                <w:sz w:val="18"/>
              </w:rPr>
              <w:t>3</w:t>
            </w:r>
          </w:p>
        </w:tc>
        <w:tc>
          <w:tcPr>
            <w:tcW w:type="dxa" w:w="3024"/>
            <w:shd w:fill="FFFFFF"/>
            <w:tcMar>
              <w:top w:w="100" w:type="dxa"/>
              <w:bottom w:w="100" w:type="dxa"/>
              <w:left w:w="140" w:type="dxa"/>
              <w:right w:w="140" w:type="dxa"/>
            </w:tcMar>
          </w:tcPr>
          <w:p>
            <w:pPr>
              <w:jc w:val="left"/>
            </w:pPr>
            <w:r>
              <w:rPr>
                <w:rFonts w:ascii="Arial" w:hAnsi="Arial"/>
                <w:color w:val="2D3748"/>
                <w:sz w:val="18"/>
              </w:rPr>
              <w:t>has_renounce_ownership</w:t>
            </w:r>
          </w:p>
        </w:tc>
        <w:tc>
          <w:tcPr>
            <w:tcW w:type="dxa" w:w="2016"/>
            <w:shd w:fill="FFFFFF"/>
            <w:tcMar>
              <w:top w:w="100" w:type="dxa"/>
              <w:bottom w:w="100" w:type="dxa"/>
              <w:left w:w="140" w:type="dxa"/>
              <w:right w:w="140" w:type="dxa"/>
            </w:tcMar>
          </w:tcPr>
          <w:p>
            <w:pPr>
              <w:jc w:val="center"/>
            </w:pPr>
            <w:r>
              <w:rPr>
                <w:rFonts w:ascii="Arial" w:hAnsi="Arial"/>
                <w:color w:val="2D3748"/>
                <w:sz w:val="18"/>
              </w:rPr>
              <w:t>0.1470 (14.7%)</w:t>
            </w:r>
          </w:p>
        </w:tc>
        <w:tc>
          <w:tcPr>
            <w:tcW w:type="dxa" w:w="3456"/>
            <w:shd w:fill="FFFFFF"/>
            <w:tcMar>
              <w:top w:w="100" w:type="dxa"/>
              <w:bottom w:w="100" w:type="dxa"/>
              <w:left w:w="140" w:type="dxa"/>
              <w:right w:w="140" w:type="dxa"/>
            </w:tcMar>
          </w:tcPr>
          <w:p>
            <w:pPr>
              <w:jc w:val="left"/>
            </w:pPr>
            <w:r>
              <w:rPr>
                <w:rFonts w:ascii="Arial" w:hAnsi="Arial"/>
                <w:color w:val="2D3748"/>
                <w:sz w:val="18"/>
              </w:rPr>
              <w:t>Absence of renunciation capability correlates heavily with owner-gated traps.</w:t>
            </w:r>
          </w:p>
        </w:tc>
      </w:tr>
      <w:tr>
        <w:trPr>
          <w:cantSplit/>
        </w:trPr>
        <w:tc>
          <w:tcPr>
            <w:tcW w:type="dxa" w:w="864"/>
            <w:shd w:fill="F7FAFC"/>
            <w:tcMar>
              <w:top w:w="100" w:type="dxa"/>
              <w:bottom w:w="100" w:type="dxa"/>
              <w:left w:w="140" w:type="dxa"/>
              <w:right w:w="140" w:type="dxa"/>
            </w:tcMar>
          </w:tcPr>
          <w:p>
            <w:pPr>
              <w:jc w:val="center"/>
            </w:pPr>
            <w:r>
              <w:rPr>
                <w:rFonts w:ascii="Arial" w:hAnsi="Arial"/>
                <w:color w:val="2D3748"/>
                <w:sz w:val="18"/>
              </w:rPr>
              <w:t>4</w:t>
            </w:r>
          </w:p>
        </w:tc>
        <w:tc>
          <w:tcPr>
            <w:tcW w:type="dxa" w:w="3024"/>
            <w:shd w:fill="F7FAFC"/>
            <w:tcMar>
              <w:top w:w="100" w:type="dxa"/>
              <w:bottom w:w="100" w:type="dxa"/>
              <w:left w:w="140" w:type="dxa"/>
              <w:right w:w="140" w:type="dxa"/>
            </w:tcMar>
          </w:tcPr>
          <w:p>
            <w:pPr>
              <w:jc w:val="left"/>
            </w:pPr>
            <w:r>
              <w:rPr>
                <w:rFonts w:ascii="Arial" w:hAnsi="Arial"/>
                <w:color w:val="2D3748"/>
                <w:sz w:val="18"/>
              </w:rPr>
              <w:t>has_openzeppelin_imports</w:t>
            </w:r>
          </w:p>
        </w:tc>
        <w:tc>
          <w:tcPr>
            <w:tcW w:type="dxa" w:w="2016"/>
            <w:shd w:fill="F7FAFC"/>
            <w:tcMar>
              <w:top w:w="100" w:type="dxa"/>
              <w:bottom w:w="100" w:type="dxa"/>
              <w:left w:w="140" w:type="dxa"/>
              <w:right w:w="140" w:type="dxa"/>
            </w:tcMar>
          </w:tcPr>
          <w:p>
            <w:pPr>
              <w:jc w:val="center"/>
            </w:pPr>
            <w:r>
              <w:rPr>
                <w:rFonts w:ascii="Arial" w:hAnsi="Arial"/>
                <w:color w:val="2D3748"/>
                <w:sz w:val="18"/>
              </w:rPr>
              <w:t>0.1195 (11.9%)</w:t>
            </w:r>
          </w:p>
        </w:tc>
        <w:tc>
          <w:tcPr>
            <w:tcW w:type="dxa" w:w="3456"/>
            <w:shd w:fill="F7FAFC"/>
            <w:tcMar>
              <w:top w:w="100" w:type="dxa"/>
              <w:bottom w:w="100" w:type="dxa"/>
              <w:left w:w="140" w:type="dxa"/>
              <w:right w:w="140" w:type="dxa"/>
            </w:tcMar>
          </w:tcPr>
          <w:p>
            <w:pPr>
              <w:jc w:val="left"/>
            </w:pPr>
            <w:r>
              <w:rPr>
                <w:rFonts w:ascii="Arial" w:hAnsi="Arial"/>
                <w:color w:val="2D3748"/>
                <w:sz w:val="18"/>
              </w:rPr>
              <w:t>Standardized library usage is rare in hastily assembled scam tokens.</w:t>
            </w:r>
          </w:p>
        </w:tc>
      </w:tr>
      <w:tr>
        <w:trPr>
          <w:cantSplit/>
        </w:trPr>
        <w:tc>
          <w:tcPr>
            <w:tcW w:type="dxa" w:w="864"/>
            <w:shd w:fill="FFFFFF"/>
            <w:tcMar>
              <w:top w:w="100" w:type="dxa"/>
              <w:bottom w:w="100" w:type="dxa"/>
              <w:left w:w="140" w:type="dxa"/>
              <w:right w:w="140" w:type="dxa"/>
            </w:tcMar>
          </w:tcPr>
          <w:p>
            <w:pPr>
              <w:jc w:val="center"/>
            </w:pPr>
            <w:r>
              <w:rPr>
                <w:rFonts w:ascii="Arial" w:hAnsi="Arial"/>
                <w:color w:val="2D3748"/>
                <w:sz w:val="18"/>
              </w:rPr>
              <w:t>5</w:t>
            </w:r>
          </w:p>
        </w:tc>
        <w:tc>
          <w:tcPr>
            <w:tcW w:type="dxa" w:w="3024"/>
            <w:shd w:fill="FFFFFF"/>
            <w:tcMar>
              <w:top w:w="100" w:type="dxa"/>
              <w:bottom w:w="100" w:type="dxa"/>
              <w:left w:w="140" w:type="dxa"/>
              <w:right w:w="140" w:type="dxa"/>
            </w:tcMar>
          </w:tcPr>
          <w:p>
            <w:pPr>
              <w:jc w:val="left"/>
            </w:pPr>
            <w:r>
              <w:rPr>
                <w:rFonts w:ascii="Arial" w:hAnsi="Arial"/>
                <w:color w:val="2D3748"/>
                <w:sz w:val="18"/>
              </w:rPr>
              <w:t>num_functions</w:t>
            </w:r>
          </w:p>
        </w:tc>
        <w:tc>
          <w:tcPr>
            <w:tcW w:type="dxa" w:w="2016"/>
            <w:shd w:fill="FFFFFF"/>
            <w:tcMar>
              <w:top w:w="100" w:type="dxa"/>
              <w:bottom w:w="100" w:type="dxa"/>
              <w:left w:w="140" w:type="dxa"/>
              <w:right w:w="140" w:type="dxa"/>
            </w:tcMar>
          </w:tcPr>
          <w:p>
            <w:pPr>
              <w:jc w:val="center"/>
            </w:pPr>
            <w:r>
              <w:rPr>
                <w:rFonts w:ascii="Arial" w:hAnsi="Arial"/>
                <w:color w:val="2D3748"/>
                <w:sz w:val="18"/>
              </w:rPr>
              <w:t>0.0567 (5.7%)</w:t>
            </w:r>
          </w:p>
        </w:tc>
        <w:tc>
          <w:tcPr>
            <w:tcW w:type="dxa" w:w="3456"/>
            <w:shd w:fill="FFFFFF"/>
            <w:tcMar>
              <w:top w:w="100" w:type="dxa"/>
              <w:bottom w:w="100" w:type="dxa"/>
              <w:left w:w="140" w:type="dxa"/>
              <w:right w:w="140" w:type="dxa"/>
            </w:tcMar>
          </w:tcPr>
          <w:p>
            <w:pPr>
              <w:jc w:val="left"/>
            </w:pPr>
            <w:r>
              <w:rPr>
                <w:rFonts w:ascii="Arial" w:hAnsi="Arial"/>
                <w:color w:val="2D3748"/>
                <w:sz w:val="18"/>
              </w:rPr>
              <w:t>Honeypots typically exhibit minimal function counts (only transfer traps).</w:t>
            </w:r>
          </w:p>
        </w:tc>
      </w:tr>
      <w:tr>
        <w:trPr>
          <w:cantSplit/>
        </w:trPr>
        <w:tc>
          <w:tcPr>
            <w:tcW w:type="dxa" w:w="864"/>
            <w:shd w:fill="F7FAFC"/>
            <w:tcMar>
              <w:top w:w="100" w:type="dxa"/>
              <w:bottom w:w="100" w:type="dxa"/>
              <w:left w:w="140" w:type="dxa"/>
              <w:right w:w="140" w:type="dxa"/>
            </w:tcMar>
          </w:tcPr>
          <w:p>
            <w:pPr>
              <w:jc w:val="center"/>
            </w:pPr>
            <w:r>
              <w:rPr>
                <w:rFonts w:ascii="Arial" w:hAnsi="Arial"/>
                <w:color w:val="2D3748"/>
                <w:sz w:val="18"/>
              </w:rPr>
              <w:t>6</w:t>
            </w:r>
          </w:p>
        </w:tc>
        <w:tc>
          <w:tcPr>
            <w:tcW w:type="dxa" w:w="3024"/>
            <w:shd w:fill="F7FAFC"/>
            <w:tcMar>
              <w:top w:w="100" w:type="dxa"/>
              <w:bottom w:w="100" w:type="dxa"/>
              <w:left w:w="140" w:type="dxa"/>
              <w:right w:w="140" w:type="dxa"/>
            </w:tcMar>
          </w:tcPr>
          <w:p>
            <w:pPr>
              <w:jc w:val="left"/>
            </w:pPr>
            <w:r>
              <w:rPr>
                <w:rFonts w:ascii="Arial" w:hAnsi="Arial"/>
                <w:color w:val="2D3748"/>
                <w:sz w:val="18"/>
              </w:rPr>
              <w:t>has_blacklist_mapping</w:t>
            </w:r>
          </w:p>
        </w:tc>
        <w:tc>
          <w:tcPr>
            <w:tcW w:type="dxa" w:w="2016"/>
            <w:shd w:fill="F7FAFC"/>
            <w:tcMar>
              <w:top w:w="100" w:type="dxa"/>
              <w:bottom w:w="100" w:type="dxa"/>
              <w:left w:w="140" w:type="dxa"/>
              <w:right w:w="140" w:type="dxa"/>
            </w:tcMar>
          </w:tcPr>
          <w:p>
            <w:pPr>
              <w:jc w:val="center"/>
            </w:pPr>
            <w:r>
              <w:rPr>
                <w:rFonts w:ascii="Arial" w:hAnsi="Arial"/>
                <w:color w:val="2D3748"/>
                <w:sz w:val="18"/>
              </w:rPr>
              <w:t>0.0412 (4.1%)</w:t>
            </w:r>
          </w:p>
        </w:tc>
        <w:tc>
          <w:tcPr>
            <w:tcW w:type="dxa" w:w="3456"/>
            <w:shd w:fill="F7FAFC"/>
            <w:tcMar>
              <w:top w:w="100" w:type="dxa"/>
              <w:bottom w:w="100" w:type="dxa"/>
              <w:left w:w="140" w:type="dxa"/>
              <w:right w:w="140" w:type="dxa"/>
            </w:tcMar>
          </w:tcPr>
          <w:p>
            <w:pPr>
              <w:jc w:val="left"/>
            </w:pPr>
            <w:r>
              <w:rPr>
                <w:rFonts w:ascii="Arial" w:hAnsi="Arial"/>
                <w:color w:val="2D3748"/>
                <w:sz w:val="18"/>
              </w:rPr>
              <w:t>Presence of address blacklist mappings is a strong malicious indicator.</w:t>
            </w:r>
          </w:p>
        </w:tc>
      </w:tr>
    </w:tbl>
    <w:p>
      <w:pPr>
        <w:pStyle w:val="Heading2"/>
        <w:keepNext/>
        <w:spacing w:before="280" w:after="120"/>
      </w:pPr>
      <w:r>
        <w:rPr>
          <w:rFonts w:ascii="Arial" w:hAnsi="Arial"/>
          <w:b/>
          <w:color w:val="2B6CB0"/>
          <w:sz w:val="27"/>
        </w:rPr>
        <w:t>5.4 Empirical Case Study Audits on Reference Contracts</w:t>
      </w:r>
    </w:p>
    <w:p>
      <w:pPr>
        <w:spacing w:before="0" w:after="120" w:line="288" w:lineRule="auto"/>
      </w:pPr>
      <w:r>
        <w:rPr>
          <w:rFonts w:ascii="Arial" w:hAnsi="Arial"/>
          <w:color w:val="2D3748"/>
          <w:sz w:val="21"/>
        </w:rPr>
        <w:t>The platform was validated against three canonical educational smart contracts in `samples/`:</w:t>
      </w:r>
    </w:p>
    <w:p>
      <w:pPr>
        <w:spacing w:before="0" w:after="120" w:line="288" w:lineRule="auto"/>
      </w:pPr>
      <w:r>
        <w:rPr>
          <w:rFonts w:ascii="Arial" w:hAnsi="Arial"/>
          <w:b/>
          <w:color w:val="1A365D"/>
          <w:sz w:val="21"/>
        </w:rPr>
        <w:t>Case Study 1: SafeToken.sol</w:t>
        <w:br/>
      </w:r>
      <w:r>
        <w:rPr>
          <w:rFonts w:ascii="Arial" w:hAnsi="Arial"/>
          <w:color w:val="2D3748"/>
          <w:sz w:val="21"/>
        </w:rPr>
        <w:t>Type: Benign ERC-20 reference token adhering to OpenZeppelin standards with immutable 5% fee cap.</w:t>
        <w:br/>
        <w:t>Audit Outcome:</w:t>
        <w:br/>
        <w:t xml:space="preserve">  - Static Findings: 0 suspicious findings triggered</w:t>
        <w:br/>
        <w:t xml:space="preserve">  - Positive Indicators: 4 detected (OpenZeppelin, Hard Fee Cap, Renounce Ownership, Standard Events)</w:t>
        <w:br/>
        <w:t xml:space="preserve">  - Risk Score: 0 / 100 (LOW RISK)</w:t>
        <w:br/>
        <w:t xml:space="preserve">  - ML Verdict: BENIGN (Honeypot probability: 0.05)</w:t>
        <w:br/>
        <w:t xml:space="preserve">  - CLI Exit Code: 0 (Clean)</w:t>
      </w:r>
    </w:p>
    <w:p>
      <w:pPr>
        <w:spacing w:before="0" w:after="120" w:line="288" w:lineRule="auto"/>
      </w:pPr>
      <w:r>
        <w:rPr>
          <w:rFonts w:ascii="Arial" w:hAnsi="Arial"/>
          <w:b/>
          <w:color w:val="1A365D"/>
          <w:sz w:val="21"/>
        </w:rPr>
        <w:t>Case Study 2: HoneypotToken.sol</w:t>
        <w:br/>
      </w:r>
      <w:r>
        <w:rPr>
          <w:rFonts w:ascii="Arial" w:hAnsi="Arial"/>
          <w:color w:val="2D3748"/>
          <w:sz w:val="21"/>
        </w:rPr>
        <w:t>Type: Multi-vector malicious honeypot implementing blacklist mapping, asymmetric DEX sell revert, 99% sell tax, unbounded fee setter, hidden owner mint, and inline assembly.</w:t>
        <w:br/>
        <w:t>Audit Outcome:</w:t>
        <w:br/>
        <w:t xml:space="preserve">  - Static Findings: 6 Critical/High findings triggered with exact source line attribution</w:t>
        <w:br/>
        <w:t xml:space="preserve">  - Positive Indicators: 0 detected</w:t>
        <w:br/>
        <w:t xml:space="preserve">  - Risk Score: 95 / 100 (CRITICAL RISK)</w:t>
        <w:br/>
        <w:t xml:space="preserve">  - ML Verdict: HONEYPOT (Honeypot probability: 0.98)</w:t>
        <w:br/>
        <w:t xml:space="preserve">  - CLI Exit Code: 1 (Malicious / Trap Detected)</w:t>
      </w:r>
    </w:p>
    <w:p>
      <w:pPr>
        <w:spacing w:before="0" w:after="120" w:line="288" w:lineRule="auto"/>
      </w:pPr>
      <w:r>
        <w:rPr>
          <w:rFonts w:ascii="Arial" w:hAnsi="Arial"/>
          <w:b/>
          <w:color w:val="1A365D"/>
          <w:sz w:val="21"/>
        </w:rPr>
        <w:t>Case Study 3: RestrictedGovernanceToken.sol</w:t>
        <w:br/>
      </w:r>
      <w:r>
        <w:rPr>
          <w:rFonts w:ascii="Arial" w:hAnsi="Arial"/>
          <w:color w:val="2D3748"/>
          <w:sz w:val="21"/>
        </w:rPr>
        <w:t>Type: Corporate compliance governance token with emergency pausable transfers and wallet limits.</w:t>
        <w:br/>
        <w:t>Audit Outcome:</w:t>
        <w:br/>
        <w:t xml:space="preserve">  - Static Findings: 2 findings triggered (Pausable Transfers, Max Wallet Limit)</w:t>
        <w:br/>
        <w:t xml:space="preserve">  - Positive Indicators: 3 detected (OpenZeppelin, Renounce Ownership, Standard Events)</w:t>
        <w:br/>
        <w:t xml:space="preserve">  - Gross Score: 40 | Mitigating Deduction: -15 | Net Score: 25</w:t>
        <w:br/>
        <w:t xml:space="preserve">  - Risk Score: 35 / 100 (MODERATE RISK)</w:t>
        <w:br/>
        <w:t xml:space="preserve">  - ML Verdict: BENIGN / BORDERLINE (Honeypot probability: 0.32)</w:t>
        <w:br/>
        <w:t xml:space="preserve">  - CLI Exit Code: 0 (Moderate / Non-Critical)</w:t>
      </w:r>
    </w:p>
    <w:p>
      <w:pPr>
        <w:pStyle w:val="Heading2"/>
        <w:keepNext/>
        <w:spacing w:before="280" w:after="120"/>
      </w:pPr>
      <w:r>
        <w:rPr>
          <w:rFonts w:ascii="Arial" w:hAnsi="Arial"/>
          <w:b/>
          <w:color w:val="2B6CB0"/>
          <w:sz w:val="27"/>
        </w:rPr>
        <w:t>5.5 Comparative Analysis with Conventional Tools</w:t>
      </w:r>
    </w:p>
    <w:p>
      <w:pPr>
        <w:spacing w:before="0" w:after="120" w:line="288" w:lineRule="auto"/>
      </w:pPr>
      <w:r>
        <w:rPr>
          <w:rFonts w:ascii="Arial" w:hAnsi="Arial"/>
          <w:color w:val="2D3748"/>
          <w:sz w:val="21"/>
        </w:rPr>
        <w:t>The table below benchmarks the platform against industry-standard smart contract security tools: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2592"/>
            <w:shd w:fill="1A365D"/>
            <w:tcMar>
              <w:top w:w="120" w:type="dxa"/>
              <w:bottom w:w="120" w:type="dxa"/>
              <w:left w:w="140" w:type="dxa"/>
              <w:right w:w="140" w:type="dxa"/>
            </w:tcMar>
          </w:tcPr>
          <w:p>
            <w:pPr>
              <w:jc w:val="center"/>
            </w:pPr>
            <w:r>
              <w:rPr>
                <w:rFonts w:ascii="Arial" w:hAnsi="Arial"/>
                <w:b/>
                <w:color w:val="FFFFFF"/>
                <w:sz w:val="19"/>
              </w:rPr>
              <w:t>Evaluation Metric</w:t>
            </w:r>
          </w:p>
        </w:tc>
        <w:tc>
          <w:tcPr>
            <w:tcW w:type="dxa" w:w="1872"/>
            <w:shd w:fill="1A365D"/>
            <w:tcMar>
              <w:top w:w="120" w:type="dxa"/>
              <w:bottom w:w="120" w:type="dxa"/>
              <w:left w:w="140" w:type="dxa"/>
              <w:right w:w="140" w:type="dxa"/>
            </w:tcMar>
          </w:tcPr>
          <w:p>
            <w:pPr>
              <w:jc w:val="center"/>
            </w:pPr>
            <w:r>
              <w:rPr>
                <w:rFonts w:ascii="Arial" w:hAnsi="Arial"/>
                <w:b/>
                <w:color w:val="FFFFFF"/>
                <w:sz w:val="19"/>
              </w:rPr>
              <w:t>Our Platform</w:t>
            </w:r>
          </w:p>
        </w:tc>
        <w:tc>
          <w:tcPr>
            <w:tcW w:type="dxa" w:w="1584"/>
            <w:shd w:fill="1A365D"/>
            <w:tcMar>
              <w:top w:w="120" w:type="dxa"/>
              <w:bottom w:w="120" w:type="dxa"/>
              <w:left w:w="140" w:type="dxa"/>
              <w:right w:w="140" w:type="dxa"/>
            </w:tcMar>
          </w:tcPr>
          <w:p>
            <w:pPr>
              <w:jc w:val="center"/>
            </w:pPr>
            <w:r>
              <w:rPr>
                <w:rFonts w:ascii="Arial" w:hAnsi="Arial"/>
                <w:b/>
                <w:color w:val="FFFFFF"/>
                <w:sz w:val="19"/>
              </w:rPr>
              <w:t>Slither</w:t>
            </w:r>
          </w:p>
        </w:tc>
        <w:tc>
          <w:tcPr>
            <w:tcW w:type="dxa" w:w="1584"/>
            <w:shd w:fill="1A365D"/>
            <w:tcMar>
              <w:top w:w="120" w:type="dxa"/>
              <w:bottom w:w="120" w:type="dxa"/>
              <w:left w:w="140" w:type="dxa"/>
              <w:right w:w="140" w:type="dxa"/>
            </w:tcMar>
          </w:tcPr>
          <w:p>
            <w:pPr>
              <w:jc w:val="center"/>
            </w:pPr>
            <w:r>
              <w:rPr>
                <w:rFonts w:ascii="Arial" w:hAnsi="Arial"/>
                <w:b/>
                <w:color w:val="FFFFFF"/>
                <w:sz w:val="19"/>
              </w:rPr>
              <w:t>Mythril</w:t>
            </w:r>
          </w:p>
        </w:tc>
        <w:tc>
          <w:tcPr>
            <w:tcW w:type="dxa" w:w="1728"/>
            <w:shd w:fill="1A365D"/>
            <w:tcMar>
              <w:top w:w="120" w:type="dxa"/>
              <w:bottom w:w="120" w:type="dxa"/>
              <w:left w:w="140" w:type="dxa"/>
              <w:right w:w="140" w:type="dxa"/>
            </w:tcMar>
          </w:tcPr>
          <w:p>
            <w:pPr>
              <w:jc w:val="center"/>
            </w:pPr>
            <w:r>
              <w:rPr>
                <w:rFonts w:ascii="Arial" w:hAnsi="Arial"/>
                <w:b/>
                <w:color w:val="FFFFFF"/>
                <w:sz w:val="19"/>
              </w:rPr>
              <w:t>Honeypot.is</w:t>
            </w:r>
          </w:p>
        </w:tc>
      </w:tr>
      <w:tr>
        <w:trPr>
          <w:cantSplit/>
        </w:trPr>
        <w:tc>
          <w:tcPr>
            <w:tcW w:type="dxa" w:w="2592"/>
            <w:shd w:fill="FFFFFF"/>
            <w:tcMar>
              <w:top w:w="100" w:type="dxa"/>
              <w:bottom w:w="100" w:type="dxa"/>
              <w:left w:w="140" w:type="dxa"/>
              <w:right w:w="140" w:type="dxa"/>
            </w:tcMar>
          </w:tcPr>
          <w:p>
            <w:pPr>
              <w:jc w:val="left"/>
            </w:pPr>
            <w:r>
              <w:rPr>
                <w:rFonts w:ascii="Arial" w:hAnsi="Arial"/>
                <w:color w:val="2D3748"/>
                <w:sz w:val="18"/>
              </w:rPr>
              <w:t>Feature / Capability</w:t>
            </w:r>
          </w:p>
        </w:tc>
        <w:tc>
          <w:tcPr>
            <w:tcW w:type="dxa" w:w="1872"/>
            <w:shd w:fill="FFFFFF"/>
            <w:tcMar>
              <w:top w:w="100" w:type="dxa"/>
              <w:bottom w:w="100" w:type="dxa"/>
              <w:left w:w="140" w:type="dxa"/>
              <w:right w:w="140" w:type="dxa"/>
            </w:tcMar>
          </w:tcPr>
          <w:p>
            <w:pPr>
              <w:jc w:val="center"/>
            </w:pPr>
            <w:r>
              <w:rPr>
                <w:rFonts w:ascii="Arial" w:hAnsi="Arial"/>
                <w:color w:val="2D3748"/>
                <w:sz w:val="18"/>
              </w:rPr>
              <w:t>Our Platform</w:t>
            </w:r>
          </w:p>
        </w:tc>
        <w:tc>
          <w:tcPr>
            <w:tcW w:type="dxa" w:w="1584"/>
            <w:shd w:fill="FFFFFF"/>
            <w:tcMar>
              <w:top w:w="100" w:type="dxa"/>
              <w:bottom w:w="100" w:type="dxa"/>
              <w:left w:w="140" w:type="dxa"/>
              <w:right w:w="140" w:type="dxa"/>
            </w:tcMar>
          </w:tcPr>
          <w:p>
            <w:pPr>
              <w:jc w:val="center"/>
            </w:pPr>
            <w:r>
              <w:rPr>
                <w:rFonts w:ascii="Arial" w:hAnsi="Arial"/>
                <w:color w:val="2D3748"/>
                <w:sz w:val="18"/>
              </w:rPr>
              <w:t>Slither</w:t>
            </w:r>
          </w:p>
        </w:tc>
        <w:tc>
          <w:tcPr>
            <w:tcW w:type="dxa" w:w="1584"/>
            <w:shd w:fill="FFFFFF"/>
            <w:tcMar>
              <w:top w:w="100" w:type="dxa"/>
              <w:bottom w:w="100" w:type="dxa"/>
              <w:left w:w="140" w:type="dxa"/>
              <w:right w:w="140" w:type="dxa"/>
            </w:tcMar>
          </w:tcPr>
          <w:p>
            <w:pPr>
              <w:jc w:val="center"/>
            </w:pPr>
            <w:r>
              <w:rPr>
                <w:rFonts w:ascii="Arial" w:hAnsi="Arial"/>
                <w:color w:val="2D3748"/>
                <w:sz w:val="18"/>
              </w:rPr>
              <w:t>Mythril</w:t>
            </w:r>
          </w:p>
        </w:tc>
        <w:tc>
          <w:tcPr>
            <w:tcW w:type="dxa" w:w="1728"/>
            <w:shd w:fill="FFFFFF"/>
            <w:tcMar>
              <w:top w:w="100" w:type="dxa"/>
              <w:bottom w:w="100" w:type="dxa"/>
              <w:left w:w="140" w:type="dxa"/>
              <w:right w:w="140" w:type="dxa"/>
            </w:tcMar>
          </w:tcPr>
          <w:p>
            <w:pPr>
              <w:jc w:val="center"/>
            </w:pPr>
            <w:r>
              <w:rPr>
                <w:rFonts w:ascii="Arial" w:hAnsi="Arial"/>
                <w:color w:val="2D3748"/>
                <w:sz w:val="18"/>
              </w:rPr>
              <w:t>Honeypot.is</w:t>
            </w:r>
          </w:p>
        </w:tc>
      </w:tr>
      <w:tr>
        <w:trPr>
          <w:cantSplit/>
        </w:trPr>
        <w:tc>
          <w:tcPr>
            <w:tcW w:type="dxa" w:w="2592"/>
            <w:shd w:fill="F7FAFC"/>
            <w:tcMar>
              <w:top w:w="100" w:type="dxa"/>
              <w:bottom w:w="100" w:type="dxa"/>
              <w:left w:w="140" w:type="dxa"/>
              <w:right w:w="140" w:type="dxa"/>
            </w:tcMar>
          </w:tcPr>
          <w:p>
            <w:pPr>
              <w:jc w:val="left"/>
            </w:pPr>
            <w:r>
              <w:rPr>
                <w:rFonts w:ascii="Arial" w:hAnsi="Arial"/>
                <w:color w:val="2D3748"/>
                <w:sz w:val="18"/>
              </w:rPr>
              <w:t>Honeypot Attack Specificity</w:t>
            </w:r>
          </w:p>
        </w:tc>
        <w:tc>
          <w:tcPr>
            <w:tcW w:type="dxa" w:w="1872"/>
            <w:shd w:fill="F7FAFC"/>
            <w:tcMar>
              <w:top w:w="100" w:type="dxa"/>
              <w:bottom w:w="100" w:type="dxa"/>
              <w:left w:w="140" w:type="dxa"/>
              <w:right w:w="140" w:type="dxa"/>
            </w:tcMar>
          </w:tcPr>
          <w:p>
            <w:pPr>
              <w:jc w:val="center"/>
            </w:pPr>
            <w:r>
              <w:rPr>
                <w:rFonts w:ascii="Arial" w:hAnsi="Arial"/>
                <w:color w:val="2D3748"/>
                <w:sz w:val="18"/>
              </w:rPr>
              <w:t>EXCELLENT (10 Vectors)</w:t>
            </w:r>
          </w:p>
        </w:tc>
        <w:tc>
          <w:tcPr>
            <w:tcW w:type="dxa" w:w="1584"/>
            <w:shd w:fill="F7FAFC"/>
            <w:tcMar>
              <w:top w:w="100" w:type="dxa"/>
              <w:bottom w:w="100" w:type="dxa"/>
              <w:left w:w="140" w:type="dxa"/>
              <w:right w:w="140" w:type="dxa"/>
            </w:tcMar>
          </w:tcPr>
          <w:p>
            <w:pPr>
              <w:jc w:val="center"/>
            </w:pPr>
            <w:r>
              <w:rPr>
                <w:rFonts w:ascii="Arial" w:hAnsi="Arial"/>
                <w:color w:val="2D3748"/>
                <w:sz w:val="18"/>
              </w:rPr>
              <w:t>POOR (Generic Bugs)</w:t>
            </w:r>
          </w:p>
        </w:tc>
        <w:tc>
          <w:tcPr>
            <w:tcW w:type="dxa" w:w="1584"/>
            <w:shd w:fill="F7FAFC"/>
            <w:tcMar>
              <w:top w:w="100" w:type="dxa"/>
              <w:bottom w:w="100" w:type="dxa"/>
              <w:left w:w="140" w:type="dxa"/>
              <w:right w:w="140" w:type="dxa"/>
            </w:tcMar>
          </w:tcPr>
          <w:p>
            <w:pPr>
              <w:jc w:val="center"/>
            </w:pPr>
            <w:r>
              <w:rPr>
                <w:rFonts w:ascii="Arial" w:hAnsi="Arial"/>
                <w:color w:val="2D3748"/>
                <w:sz w:val="18"/>
              </w:rPr>
              <w:t>POOR (Generic Bugs)</w:t>
            </w:r>
          </w:p>
        </w:tc>
        <w:tc>
          <w:tcPr>
            <w:tcW w:type="dxa" w:w="1728"/>
            <w:shd w:fill="F7FAFC"/>
            <w:tcMar>
              <w:top w:w="100" w:type="dxa"/>
              <w:bottom w:w="100" w:type="dxa"/>
              <w:left w:w="140" w:type="dxa"/>
              <w:right w:w="140" w:type="dxa"/>
            </w:tcMar>
          </w:tcPr>
          <w:p>
            <w:pPr>
              <w:jc w:val="center"/>
            </w:pPr>
            <w:r>
              <w:rPr>
                <w:rFonts w:ascii="Arial" w:hAnsi="Arial"/>
                <w:color w:val="2D3748"/>
                <w:sz w:val="18"/>
              </w:rPr>
              <w:t>GOOD (DEX Simulation)</w:t>
            </w:r>
          </w:p>
        </w:tc>
      </w:tr>
      <w:tr>
        <w:trPr>
          <w:cantSplit/>
        </w:trPr>
        <w:tc>
          <w:tcPr>
            <w:tcW w:type="dxa" w:w="2592"/>
            <w:shd w:fill="FFFFFF"/>
            <w:tcMar>
              <w:top w:w="100" w:type="dxa"/>
              <w:bottom w:w="100" w:type="dxa"/>
              <w:left w:w="140" w:type="dxa"/>
              <w:right w:w="140" w:type="dxa"/>
            </w:tcMar>
          </w:tcPr>
          <w:p>
            <w:pPr>
              <w:jc w:val="left"/>
            </w:pPr>
            <w:r>
              <w:rPr>
                <w:rFonts w:ascii="Arial" w:hAnsi="Arial"/>
                <w:color w:val="2D3748"/>
                <w:sz w:val="18"/>
              </w:rPr>
              <w:t>Explainable Line Attribution</w:t>
            </w:r>
          </w:p>
        </w:tc>
        <w:tc>
          <w:tcPr>
            <w:tcW w:type="dxa" w:w="1872"/>
            <w:shd w:fill="FFFFFF"/>
            <w:tcMar>
              <w:top w:w="100" w:type="dxa"/>
              <w:bottom w:w="100" w:type="dxa"/>
              <w:left w:w="140" w:type="dxa"/>
              <w:right w:w="140" w:type="dxa"/>
            </w:tcMar>
          </w:tcPr>
          <w:p>
            <w:pPr>
              <w:jc w:val="center"/>
            </w:pPr>
            <w:r>
              <w:rPr>
                <w:rFonts w:ascii="Arial" w:hAnsi="Arial"/>
                <w:color w:val="2D3748"/>
                <w:sz w:val="18"/>
              </w:rPr>
              <w:t>YES (Source Line &amp; Evidence)</w:t>
            </w:r>
          </w:p>
        </w:tc>
        <w:tc>
          <w:tcPr>
            <w:tcW w:type="dxa" w:w="1584"/>
            <w:shd w:fill="FFFFFF"/>
            <w:tcMar>
              <w:top w:w="100" w:type="dxa"/>
              <w:bottom w:w="100" w:type="dxa"/>
              <w:left w:w="140" w:type="dxa"/>
              <w:right w:w="140" w:type="dxa"/>
            </w:tcMar>
          </w:tcPr>
          <w:p>
            <w:pPr>
              <w:jc w:val="center"/>
            </w:pPr>
            <w:r>
              <w:rPr>
                <w:rFonts w:ascii="Arial" w:hAnsi="Arial"/>
                <w:color w:val="2D3748"/>
                <w:sz w:val="18"/>
              </w:rPr>
              <w:t>YES (Call Graphs)</w:t>
            </w:r>
          </w:p>
        </w:tc>
        <w:tc>
          <w:tcPr>
            <w:tcW w:type="dxa" w:w="1584"/>
            <w:shd w:fill="FFFFFF"/>
            <w:tcMar>
              <w:top w:w="100" w:type="dxa"/>
              <w:bottom w:w="100" w:type="dxa"/>
              <w:left w:w="140" w:type="dxa"/>
              <w:right w:w="140" w:type="dxa"/>
            </w:tcMar>
          </w:tcPr>
          <w:p>
            <w:pPr>
              <w:jc w:val="center"/>
            </w:pPr>
            <w:r>
              <w:rPr>
                <w:rFonts w:ascii="Arial" w:hAnsi="Arial"/>
                <w:color w:val="2D3748"/>
                <w:sz w:val="18"/>
              </w:rPr>
              <w:t>YES (Opcode Paths)</w:t>
            </w:r>
          </w:p>
        </w:tc>
        <w:tc>
          <w:tcPr>
            <w:tcW w:type="dxa" w:w="1728"/>
            <w:shd w:fill="FFFFFF"/>
            <w:tcMar>
              <w:top w:w="100" w:type="dxa"/>
              <w:bottom w:w="100" w:type="dxa"/>
              <w:left w:w="140" w:type="dxa"/>
              <w:right w:w="140" w:type="dxa"/>
            </w:tcMar>
          </w:tcPr>
          <w:p>
            <w:pPr>
              <w:jc w:val="center"/>
            </w:pPr>
            <w:r>
              <w:rPr>
                <w:rFonts w:ascii="Arial" w:hAnsi="Arial"/>
                <w:color w:val="2D3748"/>
                <w:sz w:val="18"/>
              </w:rPr>
              <w:t>NO (Black Box Result)</w:t>
            </w:r>
          </w:p>
        </w:tc>
      </w:tr>
      <w:tr>
        <w:trPr>
          <w:cantSplit/>
        </w:trPr>
        <w:tc>
          <w:tcPr>
            <w:tcW w:type="dxa" w:w="2592"/>
            <w:shd w:fill="F7FAFC"/>
            <w:tcMar>
              <w:top w:w="100" w:type="dxa"/>
              <w:bottom w:w="100" w:type="dxa"/>
              <w:left w:w="140" w:type="dxa"/>
              <w:right w:w="140" w:type="dxa"/>
            </w:tcMar>
          </w:tcPr>
          <w:p>
            <w:pPr>
              <w:jc w:val="left"/>
            </w:pPr>
            <w:r>
              <w:rPr>
                <w:rFonts w:ascii="Arial" w:hAnsi="Arial"/>
                <w:color w:val="2D3748"/>
                <w:sz w:val="18"/>
              </w:rPr>
              <w:t>Machine Learning Classification</w:t>
            </w:r>
          </w:p>
        </w:tc>
        <w:tc>
          <w:tcPr>
            <w:tcW w:type="dxa" w:w="1872"/>
            <w:shd w:fill="F7FAFC"/>
            <w:tcMar>
              <w:top w:w="100" w:type="dxa"/>
              <w:bottom w:w="100" w:type="dxa"/>
              <w:left w:w="140" w:type="dxa"/>
              <w:right w:w="140" w:type="dxa"/>
            </w:tcMar>
          </w:tcPr>
          <w:p>
            <w:pPr>
              <w:jc w:val="center"/>
            </w:pPr>
            <w:r>
              <w:rPr>
                <w:rFonts w:ascii="Arial" w:hAnsi="Arial"/>
                <w:color w:val="2D3748"/>
                <w:sz w:val="18"/>
              </w:rPr>
              <w:t>YES (19-D RF + LR)</w:t>
            </w:r>
          </w:p>
        </w:tc>
        <w:tc>
          <w:tcPr>
            <w:tcW w:type="dxa" w:w="1584"/>
            <w:shd w:fill="F7FAFC"/>
            <w:tcMar>
              <w:top w:w="100" w:type="dxa"/>
              <w:bottom w:w="100" w:type="dxa"/>
              <w:left w:w="140" w:type="dxa"/>
              <w:right w:w="140" w:type="dxa"/>
            </w:tcMar>
          </w:tcPr>
          <w:p>
            <w:pPr>
              <w:jc w:val="center"/>
            </w:pPr>
            <w:r>
              <w:rPr>
                <w:rFonts w:ascii="Arial" w:hAnsi="Arial"/>
                <w:color w:val="2D3748"/>
                <w:sz w:val="18"/>
              </w:rPr>
              <w:t>NO</w:t>
            </w:r>
          </w:p>
        </w:tc>
        <w:tc>
          <w:tcPr>
            <w:tcW w:type="dxa" w:w="1584"/>
            <w:shd w:fill="F7FAFC"/>
            <w:tcMar>
              <w:top w:w="100" w:type="dxa"/>
              <w:bottom w:w="100" w:type="dxa"/>
              <w:left w:w="140" w:type="dxa"/>
              <w:right w:w="140" w:type="dxa"/>
            </w:tcMar>
          </w:tcPr>
          <w:p>
            <w:pPr>
              <w:jc w:val="center"/>
            </w:pPr>
            <w:r>
              <w:rPr>
                <w:rFonts w:ascii="Arial" w:hAnsi="Arial"/>
                <w:color w:val="2D3748"/>
                <w:sz w:val="18"/>
              </w:rPr>
              <w:t>NO</w:t>
            </w:r>
          </w:p>
        </w:tc>
        <w:tc>
          <w:tcPr>
            <w:tcW w:type="dxa" w:w="1728"/>
            <w:shd w:fill="F7FAFC"/>
            <w:tcMar>
              <w:top w:w="100" w:type="dxa"/>
              <w:bottom w:w="100" w:type="dxa"/>
              <w:left w:w="140" w:type="dxa"/>
              <w:right w:w="140" w:type="dxa"/>
            </w:tcMar>
          </w:tcPr>
          <w:p>
            <w:pPr>
              <w:jc w:val="center"/>
            </w:pPr>
            <w:r>
              <w:rPr>
                <w:rFonts w:ascii="Arial" w:hAnsi="Arial"/>
                <w:color w:val="2D3748"/>
                <w:sz w:val="18"/>
              </w:rPr>
              <w:t>NO</w:t>
            </w:r>
          </w:p>
        </w:tc>
      </w:tr>
      <w:tr>
        <w:trPr>
          <w:cantSplit/>
        </w:trPr>
        <w:tc>
          <w:tcPr>
            <w:tcW w:type="dxa" w:w="2592"/>
            <w:shd w:fill="FFFFFF"/>
            <w:tcMar>
              <w:top w:w="100" w:type="dxa"/>
              <w:bottom w:w="100" w:type="dxa"/>
              <w:left w:w="140" w:type="dxa"/>
              <w:right w:w="140" w:type="dxa"/>
            </w:tcMar>
          </w:tcPr>
          <w:p>
            <w:pPr>
              <w:jc w:val="left"/>
            </w:pPr>
            <w:r>
              <w:rPr>
                <w:rFonts w:ascii="Arial" w:hAnsi="Arial"/>
                <w:color w:val="2D3748"/>
                <w:sz w:val="18"/>
              </w:rPr>
              <w:t>Positive Mitigating Credits</w:t>
            </w:r>
          </w:p>
        </w:tc>
        <w:tc>
          <w:tcPr>
            <w:tcW w:type="dxa" w:w="1872"/>
            <w:shd w:fill="FFFFFF"/>
            <w:tcMar>
              <w:top w:w="100" w:type="dxa"/>
              <w:bottom w:w="100" w:type="dxa"/>
              <w:left w:w="140" w:type="dxa"/>
              <w:right w:w="140" w:type="dxa"/>
            </w:tcMar>
          </w:tcPr>
          <w:p>
            <w:pPr>
              <w:jc w:val="center"/>
            </w:pPr>
            <w:r>
              <w:rPr>
                <w:rFonts w:ascii="Arial" w:hAnsi="Arial"/>
                <w:color w:val="2D3748"/>
                <w:sz w:val="18"/>
              </w:rPr>
              <w:t>YES (4 Indicators)</w:t>
            </w:r>
          </w:p>
        </w:tc>
        <w:tc>
          <w:tcPr>
            <w:tcW w:type="dxa" w:w="1584"/>
            <w:shd w:fill="FFFFFF"/>
            <w:tcMar>
              <w:top w:w="100" w:type="dxa"/>
              <w:bottom w:w="100" w:type="dxa"/>
              <w:left w:w="140" w:type="dxa"/>
              <w:right w:w="140" w:type="dxa"/>
            </w:tcMar>
          </w:tcPr>
          <w:p>
            <w:pPr>
              <w:jc w:val="center"/>
            </w:pPr>
            <w:r>
              <w:rPr>
                <w:rFonts w:ascii="Arial" w:hAnsi="Arial"/>
                <w:color w:val="2D3748"/>
                <w:sz w:val="18"/>
              </w:rPr>
              <w:t>NO</w:t>
            </w:r>
          </w:p>
        </w:tc>
        <w:tc>
          <w:tcPr>
            <w:tcW w:type="dxa" w:w="1584"/>
            <w:shd w:fill="FFFFFF"/>
            <w:tcMar>
              <w:top w:w="100" w:type="dxa"/>
              <w:bottom w:w="100" w:type="dxa"/>
              <w:left w:w="140" w:type="dxa"/>
              <w:right w:w="140" w:type="dxa"/>
            </w:tcMar>
          </w:tcPr>
          <w:p>
            <w:pPr>
              <w:jc w:val="center"/>
            </w:pPr>
            <w:r>
              <w:rPr>
                <w:rFonts w:ascii="Arial" w:hAnsi="Arial"/>
                <w:color w:val="2D3748"/>
                <w:sz w:val="18"/>
              </w:rPr>
              <w:t>NO</w:t>
            </w:r>
          </w:p>
        </w:tc>
        <w:tc>
          <w:tcPr>
            <w:tcW w:type="dxa" w:w="1728"/>
            <w:shd w:fill="FFFFFF"/>
            <w:tcMar>
              <w:top w:w="100" w:type="dxa"/>
              <w:bottom w:w="100" w:type="dxa"/>
              <w:left w:w="140" w:type="dxa"/>
              <w:right w:w="140" w:type="dxa"/>
            </w:tcMar>
          </w:tcPr>
          <w:p>
            <w:pPr>
              <w:jc w:val="center"/>
            </w:pPr>
            <w:r>
              <w:rPr>
                <w:rFonts w:ascii="Arial" w:hAnsi="Arial"/>
                <w:color w:val="2D3748"/>
                <w:sz w:val="18"/>
              </w:rPr>
              <w:t>NO</w:t>
            </w:r>
          </w:p>
        </w:tc>
      </w:tr>
      <w:tr>
        <w:trPr>
          <w:cantSplit/>
        </w:trPr>
        <w:tc>
          <w:tcPr>
            <w:tcW w:type="dxa" w:w="2592"/>
            <w:shd w:fill="F7FAFC"/>
            <w:tcMar>
              <w:top w:w="100" w:type="dxa"/>
              <w:bottom w:w="100" w:type="dxa"/>
              <w:left w:w="140" w:type="dxa"/>
              <w:right w:w="140" w:type="dxa"/>
            </w:tcMar>
          </w:tcPr>
          <w:p>
            <w:pPr>
              <w:jc w:val="left"/>
            </w:pPr>
            <w:r>
              <w:rPr>
                <w:rFonts w:ascii="Arial" w:hAnsi="Arial"/>
                <w:color w:val="2D3748"/>
                <w:sz w:val="18"/>
              </w:rPr>
              <w:t>Offline Execution Capability</w:t>
            </w:r>
          </w:p>
        </w:tc>
        <w:tc>
          <w:tcPr>
            <w:tcW w:type="dxa" w:w="1872"/>
            <w:shd w:fill="F7FAFC"/>
            <w:tcMar>
              <w:top w:w="100" w:type="dxa"/>
              <w:bottom w:w="100" w:type="dxa"/>
              <w:left w:w="140" w:type="dxa"/>
              <w:right w:w="140" w:type="dxa"/>
            </w:tcMar>
          </w:tcPr>
          <w:p>
            <w:pPr>
              <w:jc w:val="center"/>
            </w:pPr>
            <w:r>
              <w:rPr>
                <w:rFonts w:ascii="Arial" w:hAnsi="Arial"/>
                <w:color w:val="2D3748"/>
                <w:sz w:val="18"/>
              </w:rPr>
              <w:t>YES (100% Local)</w:t>
            </w:r>
          </w:p>
        </w:tc>
        <w:tc>
          <w:tcPr>
            <w:tcW w:type="dxa" w:w="1584"/>
            <w:shd w:fill="F7FAFC"/>
            <w:tcMar>
              <w:top w:w="100" w:type="dxa"/>
              <w:bottom w:w="100" w:type="dxa"/>
              <w:left w:w="140" w:type="dxa"/>
              <w:right w:w="140" w:type="dxa"/>
            </w:tcMar>
          </w:tcPr>
          <w:p>
            <w:pPr>
              <w:jc w:val="center"/>
            </w:pPr>
            <w:r>
              <w:rPr>
                <w:rFonts w:ascii="Arial" w:hAnsi="Arial"/>
                <w:color w:val="2D3748"/>
                <w:sz w:val="18"/>
              </w:rPr>
              <w:t>YES (Requires Solc)</w:t>
            </w:r>
          </w:p>
        </w:tc>
        <w:tc>
          <w:tcPr>
            <w:tcW w:type="dxa" w:w="1584"/>
            <w:shd w:fill="F7FAFC"/>
            <w:tcMar>
              <w:top w:w="100" w:type="dxa"/>
              <w:bottom w:w="100" w:type="dxa"/>
              <w:left w:w="140" w:type="dxa"/>
              <w:right w:w="140" w:type="dxa"/>
            </w:tcMar>
          </w:tcPr>
          <w:p>
            <w:pPr>
              <w:jc w:val="center"/>
            </w:pPr>
            <w:r>
              <w:rPr>
                <w:rFonts w:ascii="Arial" w:hAnsi="Arial"/>
                <w:color w:val="2D3748"/>
                <w:sz w:val="18"/>
              </w:rPr>
              <w:t>YES (Heavy Z3 Solver)</w:t>
            </w:r>
          </w:p>
        </w:tc>
        <w:tc>
          <w:tcPr>
            <w:tcW w:type="dxa" w:w="1728"/>
            <w:shd w:fill="F7FAFC"/>
            <w:tcMar>
              <w:top w:w="100" w:type="dxa"/>
              <w:bottom w:w="100" w:type="dxa"/>
              <w:left w:w="140" w:type="dxa"/>
              <w:right w:w="140" w:type="dxa"/>
            </w:tcMar>
          </w:tcPr>
          <w:p>
            <w:pPr>
              <w:jc w:val="center"/>
            </w:pPr>
            <w:r>
              <w:rPr>
                <w:rFonts w:ascii="Arial" w:hAnsi="Arial"/>
                <w:color w:val="2D3748"/>
                <w:sz w:val="18"/>
              </w:rPr>
              <w:t>NO (Online API Only)</w:t>
            </w:r>
          </w:p>
        </w:tc>
      </w:tr>
      <w:tr>
        <w:trPr>
          <w:cantSplit/>
        </w:trPr>
        <w:tc>
          <w:tcPr>
            <w:tcW w:type="dxa" w:w="2592"/>
            <w:shd w:fill="FFFFFF"/>
            <w:tcMar>
              <w:top w:w="100" w:type="dxa"/>
              <w:bottom w:w="100" w:type="dxa"/>
              <w:left w:w="140" w:type="dxa"/>
              <w:right w:w="140" w:type="dxa"/>
            </w:tcMar>
          </w:tcPr>
          <w:p>
            <w:pPr>
              <w:jc w:val="left"/>
            </w:pPr>
            <w:r>
              <w:rPr>
                <w:rFonts w:ascii="Arial" w:hAnsi="Arial"/>
                <w:color w:val="2D3748"/>
                <w:sz w:val="18"/>
              </w:rPr>
              <w:t>Audit Speed (LOC &lt; 1000)</w:t>
            </w:r>
          </w:p>
        </w:tc>
        <w:tc>
          <w:tcPr>
            <w:tcW w:type="dxa" w:w="1872"/>
            <w:shd w:fill="FFFFFF"/>
            <w:tcMar>
              <w:top w:w="100" w:type="dxa"/>
              <w:bottom w:w="100" w:type="dxa"/>
              <w:left w:w="140" w:type="dxa"/>
              <w:right w:w="140" w:type="dxa"/>
            </w:tcMar>
          </w:tcPr>
          <w:p>
            <w:pPr>
              <w:jc w:val="center"/>
            </w:pPr>
            <w:r>
              <w:rPr>
                <w:rFonts w:ascii="Arial" w:hAnsi="Arial"/>
                <w:color w:val="2D3748"/>
                <w:sz w:val="18"/>
              </w:rPr>
              <w:t>&lt; 150 ms</w:t>
            </w:r>
          </w:p>
        </w:tc>
        <w:tc>
          <w:tcPr>
            <w:tcW w:type="dxa" w:w="1584"/>
            <w:shd w:fill="FFFFFF"/>
            <w:tcMar>
              <w:top w:w="100" w:type="dxa"/>
              <w:bottom w:w="100" w:type="dxa"/>
              <w:left w:w="140" w:type="dxa"/>
              <w:right w:w="140" w:type="dxa"/>
            </w:tcMar>
          </w:tcPr>
          <w:p>
            <w:pPr>
              <w:jc w:val="center"/>
            </w:pPr>
            <w:r>
              <w:rPr>
                <w:rFonts w:ascii="Arial" w:hAnsi="Arial"/>
                <w:color w:val="2D3748"/>
                <w:sz w:val="18"/>
              </w:rPr>
              <w:t>1 - 3 seconds</w:t>
            </w:r>
          </w:p>
        </w:tc>
        <w:tc>
          <w:tcPr>
            <w:tcW w:type="dxa" w:w="1584"/>
            <w:shd w:fill="FFFFFF"/>
            <w:tcMar>
              <w:top w:w="100" w:type="dxa"/>
              <w:bottom w:w="100" w:type="dxa"/>
              <w:left w:w="140" w:type="dxa"/>
              <w:right w:w="140" w:type="dxa"/>
            </w:tcMar>
          </w:tcPr>
          <w:p>
            <w:pPr>
              <w:jc w:val="center"/>
            </w:pPr>
            <w:r>
              <w:rPr>
                <w:rFonts w:ascii="Arial" w:hAnsi="Arial"/>
                <w:color w:val="2D3748"/>
                <w:sz w:val="18"/>
              </w:rPr>
              <w:t>30 - 180 seconds</w:t>
            </w:r>
          </w:p>
        </w:tc>
        <w:tc>
          <w:tcPr>
            <w:tcW w:type="dxa" w:w="1728"/>
            <w:shd w:fill="FFFFFF"/>
            <w:tcMar>
              <w:top w:w="100" w:type="dxa"/>
              <w:bottom w:w="100" w:type="dxa"/>
              <w:left w:w="140" w:type="dxa"/>
              <w:right w:w="140" w:type="dxa"/>
            </w:tcMar>
          </w:tcPr>
          <w:p>
            <w:pPr>
              <w:jc w:val="center"/>
            </w:pPr>
            <w:r>
              <w:rPr>
                <w:rFonts w:ascii="Arial" w:hAnsi="Arial"/>
                <w:color w:val="2D3748"/>
                <w:sz w:val="18"/>
              </w:rPr>
              <w:t>2 - 5 seconds</w:t>
            </w:r>
          </w:p>
        </w:tc>
      </w:tr>
      <w:tr>
        <w:trPr>
          <w:cantSplit/>
        </w:trPr>
        <w:tc>
          <w:tcPr>
            <w:tcW w:type="dxa" w:w="2592"/>
            <w:shd w:fill="F7FAFC"/>
            <w:tcMar>
              <w:top w:w="100" w:type="dxa"/>
              <w:bottom w:w="100" w:type="dxa"/>
              <w:left w:w="140" w:type="dxa"/>
              <w:right w:w="140" w:type="dxa"/>
            </w:tcMar>
          </w:tcPr>
          <w:p>
            <w:pPr>
              <w:jc w:val="left"/>
            </w:pPr>
            <w:r>
              <w:rPr>
                <w:rFonts w:ascii="Arial" w:hAnsi="Arial"/>
                <w:color w:val="2D3748"/>
                <w:sz w:val="18"/>
              </w:rPr>
              <w:t>MERN Web Dashboard &amp; History</w:t>
            </w:r>
          </w:p>
        </w:tc>
        <w:tc>
          <w:tcPr>
            <w:tcW w:type="dxa" w:w="1872"/>
            <w:shd w:fill="F7FAFC"/>
            <w:tcMar>
              <w:top w:w="100" w:type="dxa"/>
              <w:bottom w:w="100" w:type="dxa"/>
              <w:left w:w="140" w:type="dxa"/>
              <w:right w:w="140" w:type="dxa"/>
            </w:tcMar>
          </w:tcPr>
          <w:p>
            <w:pPr>
              <w:jc w:val="center"/>
            </w:pPr>
            <w:r>
              <w:rPr>
                <w:rFonts w:ascii="Arial" w:hAnsi="Arial"/>
                <w:color w:val="2D3748"/>
                <w:sz w:val="18"/>
              </w:rPr>
              <w:t>YES (Built-In)</w:t>
            </w:r>
          </w:p>
        </w:tc>
        <w:tc>
          <w:tcPr>
            <w:tcW w:type="dxa" w:w="1584"/>
            <w:shd w:fill="F7FAFC"/>
            <w:tcMar>
              <w:top w:w="100" w:type="dxa"/>
              <w:bottom w:w="100" w:type="dxa"/>
              <w:left w:w="140" w:type="dxa"/>
              <w:right w:w="140" w:type="dxa"/>
            </w:tcMar>
          </w:tcPr>
          <w:p>
            <w:pPr>
              <w:jc w:val="center"/>
            </w:pPr>
            <w:r>
              <w:rPr>
                <w:rFonts w:ascii="Arial" w:hAnsi="Arial"/>
                <w:color w:val="2D3748"/>
                <w:sz w:val="18"/>
              </w:rPr>
              <w:t>NO (CLI only)</w:t>
            </w:r>
          </w:p>
        </w:tc>
        <w:tc>
          <w:tcPr>
            <w:tcW w:type="dxa" w:w="1584"/>
            <w:shd w:fill="F7FAFC"/>
            <w:tcMar>
              <w:top w:w="100" w:type="dxa"/>
              <w:bottom w:w="100" w:type="dxa"/>
              <w:left w:w="140" w:type="dxa"/>
              <w:right w:w="140" w:type="dxa"/>
            </w:tcMar>
          </w:tcPr>
          <w:p>
            <w:pPr>
              <w:jc w:val="center"/>
            </w:pPr>
            <w:r>
              <w:rPr>
                <w:rFonts w:ascii="Arial" w:hAnsi="Arial"/>
                <w:color w:val="2D3748"/>
                <w:sz w:val="18"/>
              </w:rPr>
              <w:t>NO (CLI only)</w:t>
            </w:r>
          </w:p>
        </w:tc>
        <w:tc>
          <w:tcPr>
            <w:tcW w:type="dxa" w:w="1728"/>
            <w:shd w:fill="F7FAFC"/>
            <w:tcMar>
              <w:top w:w="100" w:type="dxa"/>
              <w:bottom w:w="100" w:type="dxa"/>
              <w:left w:w="140" w:type="dxa"/>
              <w:right w:w="140" w:type="dxa"/>
            </w:tcMar>
          </w:tcPr>
          <w:p>
            <w:pPr>
              <w:jc w:val="center"/>
            </w:pPr>
            <w:r>
              <w:rPr>
                <w:rFonts w:ascii="Arial" w:hAnsi="Arial"/>
                <w:color w:val="2D3748"/>
                <w:sz w:val="18"/>
              </w:rPr>
              <w:t>YES (Web UI only)</w:t>
            </w:r>
          </w:p>
        </w:tc>
      </w:tr>
      <w:tr>
        <w:trPr>
          <w:cantSplit/>
        </w:trPr>
        <w:tc>
          <w:tcPr>
            <w:tcW w:type="dxa" w:w="2592"/>
            <w:shd w:fill="FFFFFF"/>
            <w:tcMar>
              <w:top w:w="100" w:type="dxa"/>
              <w:bottom w:w="100" w:type="dxa"/>
              <w:left w:w="140" w:type="dxa"/>
              <w:right w:w="140" w:type="dxa"/>
            </w:tcMar>
          </w:tcPr>
          <w:p>
            <w:pPr>
              <w:jc w:val="left"/>
            </w:pPr>
            <w:r>
              <w:rPr>
                <w:rFonts w:ascii="Arial" w:hAnsi="Arial"/>
                <w:color w:val="2D3748"/>
                <w:sz w:val="18"/>
              </w:rPr>
              <w:t>Zero Local Bytecode Execution</w:t>
            </w:r>
          </w:p>
        </w:tc>
        <w:tc>
          <w:tcPr>
            <w:tcW w:type="dxa" w:w="1872"/>
            <w:shd w:fill="FFFFFF"/>
            <w:tcMar>
              <w:top w:w="100" w:type="dxa"/>
              <w:bottom w:w="100" w:type="dxa"/>
              <w:left w:w="140" w:type="dxa"/>
              <w:right w:w="140" w:type="dxa"/>
            </w:tcMar>
          </w:tcPr>
          <w:p>
            <w:pPr>
              <w:jc w:val="center"/>
            </w:pPr>
            <w:r>
              <w:rPr>
                <w:rFonts w:ascii="Arial" w:hAnsi="Arial"/>
                <w:color w:val="2D3748"/>
                <w:sz w:val="18"/>
              </w:rPr>
              <w:t>YES (Safe Static/Remote)</w:t>
            </w:r>
          </w:p>
        </w:tc>
        <w:tc>
          <w:tcPr>
            <w:tcW w:type="dxa" w:w="1584"/>
            <w:shd w:fill="FFFFFF"/>
            <w:tcMar>
              <w:top w:w="100" w:type="dxa"/>
              <w:bottom w:w="100" w:type="dxa"/>
              <w:left w:w="140" w:type="dxa"/>
              <w:right w:w="140" w:type="dxa"/>
            </w:tcMar>
          </w:tcPr>
          <w:p>
            <w:pPr>
              <w:jc w:val="center"/>
            </w:pPr>
            <w:r>
              <w:rPr>
                <w:rFonts w:ascii="Arial" w:hAnsi="Arial"/>
                <w:color w:val="2D3748"/>
                <w:sz w:val="18"/>
              </w:rPr>
              <w:t>NO (Compiles Locally)</w:t>
            </w:r>
          </w:p>
        </w:tc>
        <w:tc>
          <w:tcPr>
            <w:tcW w:type="dxa" w:w="1584"/>
            <w:shd w:fill="FFFFFF"/>
            <w:tcMar>
              <w:top w:w="100" w:type="dxa"/>
              <w:bottom w:w="100" w:type="dxa"/>
              <w:left w:w="140" w:type="dxa"/>
              <w:right w:w="140" w:type="dxa"/>
            </w:tcMar>
          </w:tcPr>
          <w:p>
            <w:pPr>
              <w:jc w:val="center"/>
            </w:pPr>
            <w:r>
              <w:rPr>
                <w:rFonts w:ascii="Arial" w:hAnsi="Arial"/>
                <w:color w:val="2D3748"/>
                <w:sz w:val="18"/>
              </w:rPr>
              <w:t>NO (Executes SymVM)</w:t>
            </w:r>
          </w:p>
        </w:tc>
        <w:tc>
          <w:tcPr>
            <w:tcW w:type="dxa" w:w="1728"/>
            <w:shd w:fill="FFFFFF"/>
            <w:tcMar>
              <w:top w:w="100" w:type="dxa"/>
              <w:bottom w:w="100" w:type="dxa"/>
              <w:left w:w="140" w:type="dxa"/>
              <w:right w:w="140" w:type="dxa"/>
            </w:tcMar>
          </w:tcPr>
          <w:p>
            <w:pPr>
              <w:jc w:val="center"/>
            </w:pPr>
            <w:r>
              <w:rPr>
                <w:rFonts w:ascii="Arial" w:hAnsi="Arial"/>
                <w:color w:val="2D3748"/>
                <w:sz w:val="18"/>
              </w:rPr>
              <w:t>YES (Cloud Sandbox)</w:t>
            </w:r>
          </w:p>
        </w:tc>
      </w:tr>
    </w:tbl>
    <w:p>
      <w:pPr>
        <w:pStyle w:val="Heading2"/>
        <w:keepNext/>
        <w:spacing w:before="280" w:after="120"/>
      </w:pPr>
      <w:r>
        <w:rPr>
          <w:rFonts w:ascii="Arial" w:hAnsi="Arial"/>
          <w:b/>
          <w:color w:val="2B6CB0"/>
          <w:sz w:val="27"/>
        </w:rPr>
        <w:t>5.6 Discussion of Limitations &amp; False-Positive Scenarios</w:t>
      </w:r>
    </w:p>
    <w:p>
      <w:pPr>
        <w:pStyle w:val="ListBullet"/>
        <w:spacing w:before="0" w:after="60" w:line="276" w:lineRule="auto"/>
      </w:pPr>
      <w:r>
        <w:rPr>
          <w:rFonts w:ascii="Arial" w:hAnsi="Arial"/>
          <w:b/>
          <w:color w:val="1A365D"/>
          <w:sz w:val="20"/>
        </w:rPr>
        <w:t xml:space="preserve">1. Compliance Stablecoins (USDC / USDT): </w:t>
      </w:r>
      <w:r>
        <w:rPr>
          <w:rFonts w:ascii="Arial" w:hAnsi="Arial"/>
          <w:color w:val="2D3748"/>
          <w:sz w:val="20"/>
        </w:rPr>
        <w:t>Institutional stablecoins such as USDC and USDT include blacklist mappings and freeze functions required by legal mandates (OFAC sanctions). The engine flags these as high risk unless evaluated in conjunction with positive compliance indicators.</w:t>
      </w:r>
    </w:p>
    <w:p>
      <w:pPr>
        <w:pStyle w:val="ListBullet"/>
        <w:spacing w:before="0" w:after="60" w:line="276" w:lineRule="auto"/>
      </w:pPr>
      <w:r>
        <w:rPr>
          <w:rFonts w:ascii="Arial" w:hAnsi="Arial"/>
          <w:b/>
          <w:color w:val="1A365D"/>
          <w:sz w:val="20"/>
        </w:rPr>
        <w:t xml:space="preserve">2. DEX Pair Internal Routing: </w:t>
      </w:r>
      <w:r>
        <w:rPr>
          <w:rFonts w:ascii="Arial" w:hAnsi="Arial"/>
          <w:color w:val="2D3748"/>
          <w:sz w:val="20"/>
        </w:rPr>
        <w:t>DEX liquidity pair contracts explicitly revert direct token transfers to protect automated market maker math (x * y = k). Heuristic rules must distinguish token logic from router pair internals.</w:t>
      </w:r>
    </w:p>
    <w:p>
      <w:pPr>
        <w:pStyle w:val="ListBullet"/>
        <w:spacing w:before="0" w:after="60" w:line="276" w:lineRule="auto"/>
      </w:pPr>
      <w:r>
        <w:rPr>
          <w:rFonts w:ascii="Arial" w:hAnsi="Arial"/>
          <w:b/>
          <w:color w:val="1A365D"/>
          <w:sz w:val="20"/>
        </w:rPr>
        <w:t xml:space="preserve">3. Dynamic External Oracles: </w:t>
      </w:r>
      <w:r>
        <w:rPr>
          <w:rFonts w:ascii="Arial" w:hAnsi="Arial"/>
          <w:color w:val="2D3748"/>
          <w:sz w:val="20"/>
        </w:rPr>
        <w:t>If honeypot logic delegates transfer approval to an external oracle contract that is initially dormant and flipped post-launch, static analysis flags an external call but cannot predict future off-chain oracle states.</w:t>
      </w:r>
    </w:p>
    <w:p>
      <w:pPr>
        <w:pStyle w:val="ListBullet"/>
        <w:spacing w:before="0" w:after="60" w:line="276" w:lineRule="auto"/>
      </w:pPr>
      <w:r>
        <w:rPr>
          <w:rFonts w:ascii="Arial" w:hAnsi="Arial"/>
          <w:b/>
          <w:color w:val="1A365D"/>
          <w:sz w:val="20"/>
        </w:rPr>
        <w:t xml:space="preserve">4. Economic Liquidity Rug Pulls: </w:t>
      </w:r>
      <w:r>
        <w:rPr>
          <w:rFonts w:ascii="Arial" w:hAnsi="Arial"/>
          <w:color w:val="2D3748"/>
          <w:sz w:val="20"/>
        </w:rPr>
        <w:t>An economic rug pull (deployer withdrawing all paired liquidity from Uniswap) occurs at the AMM pool level, not in the token contract. Pure token static analysis will score such contracts as Low Risk.</w:t>
      </w:r>
    </w:p>
    <w:p>
      <w:r>
        <w:br w:type="page"/>
      </w:r>
    </w:p>
    <w:p>
      <w:pPr>
        <w:pStyle w:val="Heading1"/>
        <w:keepNext/>
        <w:spacing w:before="400" w:after="160"/>
      </w:pPr>
      <w:r>
        <w:rPr>
          <w:rFonts w:ascii="Arial" w:hAnsi="Arial"/>
          <w:b/>
          <w:color w:val="1A365D"/>
          <w:sz w:val="34"/>
        </w:rPr>
        <w:t>6.0 Project Applications</w:t>
      </w:r>
    </w:p>
    <w:p>
      <w:pPr>
        <w:pStyle w:val="Heading2"/>
        <w:keepNext/>
        <w:spacing w:before="280" w:after="120"/>
      </w:pPr>
      <w:r>
        <w:rPr>
          <w:rFonts w:ascii="Arial" w:hAnsi="Arial"/>
          <w:b/>
          <w:color w:val="2B6CB0"/>
          <w:sz w:val="27"/>
        </w:rPr>
        <w:t>6.1 Cyber Security &amp; Digital Forensics (CSDF) Investigations</w:t>
      </w:r>
    </w:p>
    <w:p>
      <w:pPr>
        <w:spacing w:before="0" w:after="120" w:line="288" w:lineRule="auto"/>
      </w:pPr>
      <w:r>
        <w:rPr>
          <w:rFonts w:ascii="Arial" w:hAnsi="Arial"/>
          <w:color w:val="2D3748"/>
          <w:sz w:val="21"/>
        </w:rPr>
        <w:t>In digital forensics and incident response (DFIR) investigations involving decentralized finance scams, investigators face the challenge of reconstructing fraudulent token logic from on-chain evidence. When a victim reports a total loss of funds after buying a meme token on Uniswap or PancakeSwap, law enforcement and forensic analysts can utilize our platform to:</w:t>
      </w:r>
    </w:p>
    <w:p>
      <w:pPr>
        <w:pStyle w:val="ListBullet"/>
        <w:spacing w:before="0" w:after="60" w:line="276" w:lineRule="auto"/>
      </w:pPr>
      <w:r>
        <w:rPr>
          <w:rFonts w:ascii="Arial" w:hAnsi="Arial"/>
          <w:b/>
          <w:color w:val="1A365D"/>
          <w:sz w:val="20"/>
        </w:rPr>
        <w:t xml:space="preserve">• On-Chain Evidence Acquisition: </w:t>
      </w:r>
      <w:r>
        <w:rPr>
          <w:rFonts w:ascii="Arial" w:hAnsi="Arial"/>
          <w:color w:val="2D3748"/>
          <w:sz w:val="20"/>
        </w:rPr>
        <w:t>Automatically ingest verified Solidity source code or on-chain bytecode directly from block explorers via contract address.</w:t>
      </w:r>
    </w:p>
    <w:p>
      <w:pPr>
        <w:pStyle w:val="ListBullet"/>
        <w:spacing w:before="0" w:after="60" w:line="276" w:lineRule="auto"/>
      </w:pPr>
      <w:r>
        <w:rPr>
          <w:rFonts w:ascii="Arial" w:hAnsi="Arial"/>
          <w:b/>
          <w:color w:val="1A365D"/>
          <w:sz w:val="20"/>
        </w:rPr>
        <w:t xml:space="preserve">• Proof of Malicious Intent: </w:t>
      </w:r>
      <w:r>
        <w:rPr>
          <w:rFonts w:ascii="Arial" w:hAnsi="Arial"/>
          <w:color w:val="2D3748"/>
          <w:sz w:val="20"/>
        </w:rPr>
        <w:t>Extract exact source code line numbers proving that sell functions were programmatically disabled or taxed at confiscatory rates, establishing malicious intent (mens rea).</w:t>
      </w:r>
    </w:p>
    <w:p>
      <w:pPr>
        <w:pStyle w:val="ListBullet"/>
        <w:spacing w:before="0" w:after="60" w:line="276" w:lineRule="auto"/>
      </w:pPr>
      <w:r>
        <w:rPr>
          <w:rFonts w:ascii="Arial" w:hAnsi="Arial"/>
          <w:b/>
          <w:color w:val="1A365D"/>
          <w:sz w:val="20"/>
        </w:rPr>
        <w:t xml:space="preserve">• Evidentiary Audit Export: </w:t>
      </w:r>
      <w:r>
        <w:rPr>
          <w:rFonts w:ascii="Arial" w:hAnsi="Arial"/>
          <w:color w:val="2D3748"/>
          <w:sz w:val="20"/>
        </w:rPr>
        <w:t>Generate standardized JSON and CSV forensic reports with SHA-256 evidence digests suitable for inclusion in formal forensic investigation dossiers and legal proceedings.</w:t>
      </w:r>
    </w:p>
    <w:p>
      <w:pPr>
        <w:pStyle w:val="Heading2"/>
        <w:keepNext/>
        <w:spacing w:before="280" w:after="120"/>
      </w:pPr>
      <w:r>
        <w:rPr>
          <w:rFonts w:ascii="Arial" w:hAnsi="Arial"/>
          <w:b/>
          <w:color w:val="2B6CB0"/>
          <w:sz w:val="27"/>
        </w:rPr>
        <w:t>6.2 Pre-Trade Consumer Protection in Web3 Wallets &amp; DEX Aggregators</w:t>
      </w:r>
    </w:p>
    <w:p>
      <w:pPr>
        <w:spacing w:before="0" w:after="120" w:line="288" w:lineRule="auto"/>
      </w:pPr>
      <w:r>
        <w:rPr>
          <w:rFonts w:ascii="Arial" w:hAnsi="Arial"/>
          <w:color w:val="2D3748"/>
          <w:sz w:val="21"/>
        </w:rPr>
        <w:t>Retail investors currently suffer millions of dollars in losses annually due to honeypots. The sub-5ms ML inference and &lt;150ms static audit speed make our platform ideal for real-time integration into consumer-facing Web3 infrastructure:</w:t>
      </w:r>
    </w:p>
    <w:p>
      <w:pPr>
        <w:pStyle w:val="ListBullet"/>
        <w:spacing w:before="0" w:after="60" w:line="276" w:lineRule="auto"/>
      </w:pPr>
      <w:r>
        <w:rPr>
          <w:rFonts w:ascii="Arial" w:hAnsi="Arial"/>
          <w:b/>
          <w:color w:val="1A365D"/>
          <w:sz w:val="20"/>
        </w:rPr>
        <w:t xml:space="preserve">• Wallet Transaction Simulation Shield: </w:t>
      </w:r>
      <w:r>
        <w:rPr>
          <w:rFonts w:ascii="Arial" w:hAnsi="Arial"/>
          <w:color w:val="2D3748"/>
          <w:sz w:val="20"/>
        </w:rPr>
        <w:t>Browser extension wallets (e.g., MetaMask, Rabby, Coinbase Wallet) can invoke our REST API before presenting the user with an ERC-20 'Approve' or 'Swap' transaction prompt. If the token exhibits High or Critical risk, the wallet displays an unmistakable warning dialog.</w:t>
      </w:r>
    </w:p>
    <w:p>
      <w:pPr>
        <w:pStyle w:val="ListBullet"/>
        <w:spacing w:before="0" w:after="60" w:line="276" w:lineRule="auto"/>
      </w:pPr>
      <w:r>
        <w:rPr>
          <w:rFonts w:ascii="Arial" w:hAnsi="Arial"/>
          <w:b/>
          <w:color w:val="1A365D"/>
          <w:sz w:val="20"/>
        </w:rPr>
        <w:t xml:space="preserve">• DEX Aggregator Token Filtering: </w:t>
      </w:r>
      <w:r>
        <w:rPr>
          <w:rFonts w:ascii="Arial" w:hAnsi="Arial"/>
          <w:color w:val="2D3748"/>
          <w:sz w:val="20"/>
        </w:rPr>
        <w:t>DEX aggregators such as 1inch, ParaSwap, or Uniswap Interface can screen newly listed liquidity pairs, automatically filtering out tokens with sell restrictions or unbounded fee setters from their user-facing token search lists.</w:t>
      </w:r>
    </w:p>
    <w:p>
      <w:pPr>
        <w:pStyle w:val="Heading2"/>
        <w:keepNext/>
        <w:spacing w:before="280" w:after="120"/>
      </w:pPr>
      <w:r>
        <w:rPr>
          <w:rFonts w:ascii="Arial" w:hAnsi="Arial"/>
          <w:b/>
          <w:color w:val="2B6CB0"/>
          <w:sz w:val="27"/>
        </w:rPr>
        <w:t>6.3 Automated Threat Intelligence &amp; Mempool Scanning Pipelines</w:t>
      </w:r>
    </w:p>
    <w:p>
      <w:pPr>
        <w:spacing w:before="0" w:after="120" w:line="288" w:lineRule="auto"/>
      </w:pPr>
      <w:r>
        <w:rPr>
          <w:rFonts w:ascii="Arial" w:hAnsi="Arial"/>
          <w:color w:val="2D3748"/>
          <w:sz w:val="21"/>
        </w:rPr>
        <w:t>Security operations centers (SOC) and Web3 threat intelligence teams can deploy the platform as a continuous background daemon. By listening to `PairCreated` events emitted by Uniswap V2/V3 and PancakeSwap factory contracts, an automated ingestion pipeline can analyze every newly deployed token within seconds of liquidity addition, publishing threat intelligence feeds to Telegram, Discord, or enterprise SIEM platforms.</w:t>
      </w:r>
    </w:p>
    <w:p>
      <w:pPr>
        <w:pStyle w:val="Heading2"/>
        <w:keepNext/>
        <w:spacing w:before="280" w:after="120"/>
      </w:pPr>
      <w:r>
        <w:rPr>
          <w:rFonts w:ascii="Arial" w:hAnsi="Arial"/>
          <w:b/>
          <w:color w:val="2B6CB0"/>
          <w:sz w:val="27"/>
        </w:rPr>
        <w:t>6.4 Smart Contract Auditing &amp; DevSecOps Tooling</w:t>
      </w:r>
    </w:p>
    <w:p>
      <w:pPr>
        <w:spacing w:before="0" w:after="120" w:line="288" w:lineRule="auto"/>
      </w:pPr>
      <w:r>
        <w:rPr>
          <w:rFonts w:ascii="Arial" w:hAnsi="Arial"/>
          <w:color w:val="2D3748"/>
          <w:sz w:val="21"/>
        </w:rPr>
        <w:t>Commercial smart contract auditing firms can incorporate our platform into their continuous integration and continuous deployment (CI/CD) pipelines. Developers can run `python main.py --file contracts/Token.sol` as a pre-commit git hook. If a developer unintentionally introduces an unbounded tax setter, pausable switch without governance timelock, or accidental transfer trap, the CLI returns exit code `1`, halting the build before deployment to mainnet.</w:t>
      </w:r>
    </w:p>
    <w:p>
      <w:pPr>
        <w:pStyle w:val="Heading2"/>
        <w:keepNext/>
        <w:spacing w:before="280" w:after="120"/>
      </w:pPr>
      <w:r>
        <w:rPr>
          <w:rFonts w:ascii="Arial" w:hAnsi="Arial"/>
          <w:b/>
          <w:color w:val="2B6CB0"/>
          <w:sz w:val="27"/>
        </w:rPr>
        <w:t>6.5 Academic Research &amp; Forensic Education Platforms</w:t>
      </w:r>
    </w:p>
    <w:p>
      <w:pPr>
        <w:spacing w:before="0" w:after="120" w:line="288" w:lineRule="auto"/>
      </w:pPr>
      <w:r>
        <w:rPr>
          <w:rFonts w:ascii="Arial" w:hAnsi="Arial"/>
          <w:color w:val="2D3748"/>
          <w:sz w:val="21"/>
        </w:rPr>
        <w:t>For universities and cybersecurity training academies, the platform serves as an open-source reference architecture. Students can study how deceptive Solidity patterns are constructed, how AST parsing operates, how 19-dimensional feature engineering extracts tabular data from code, and how machine learning models distinguish fraudulent from benign logic. The interactive MERN stack dashboard provides an intuitive, hands-on visual lab environment.</w:t>
      </w:r>
    </w:p>
    <w:p>
      <w:pPr>
        <w:pStyle w:val="Heading2"/>
        <w:keepNext/>
        <w:spacing w:before="280" w:after="120"/>
      </w:pPr>
      <w:r>
        <w:rPr>
          <w:rFonts w:ascii="Arial" w:hAnsi="Arial"/>
          <w:b/>
          <w:color w:val="2B6CB0"/>
          <w:sz w:val="27"/>
        </w:rPr>
        <w:t>6.6 Future Scope &amp; Strategic Roadmap</w:t>
      </w:r>
    </w:p>
    <w:p>
      <w:pPr>
        <w:spacing w:before="0" w:after="120" w:line="288" w:lineRule="auto"/>
      </w:pPr>
      <w:r>
        <w:rPr>
          <w:rFonts w:ascii="Arial" w:hAnsi="Arial"/>
          <w:color w:val="2D3748"/>
          <w:sz w:val="21"/>
        </w:rPr>
        <w:t>The project roadmap includes four strategic enhancements for future research and engineering:</w:t>
      </w:r>
    </w:p>
    <w:p>
      <w:pPr>
        <w:pStyle w:val="ListBullet"/>
        <w:spacing w:before="0" w:after="60" w:line="276" w:lineRule="auto"/>
      </w:pPr>
      <w:r>
        <w:rPr>
          <w:rFonts w:ascii="Arial" w:hAnsi="Arial"/>
          <w:b/>
          <w:color w:val="1A365D"/>
          <w:sz w:val="20"/>
        </w:rPr>
        <w:t xml:space="preserve">1. Slither AST Dataflow Integration: </w:t>
      </w:r>
      <w:r>
        <w:rPr>
          <w:rFonts w:ascii="Arial" w:hAnsi="Arial"/>
          <w:color w:val="2D3748"/>
          <w:sz w:val="20"/>
        </w:rPr>
        <w:t>Ingest compiled solc AST JSON artifacts from Slither to track internal dataflow and taint propagation across complex inter-contract call graphs.</w:t>
      </w:r>
    </w:p>
    <w:p>
      <w:pPr>
        <w:pStyle w:val="ListBullet"/>
        <w:spacing w:before="0" w:after="60" w:line="276" w:lineRule="auto"/>
      </w:pPr>
      <w:r>
        <w:rPr>
          <w:rFonts w:ascii="Arial" w:hAnsi="Arial"/>
          <w:b/>
          <w:color w:val="1A365D"/>
          <w:sz w:val="20"/>
        </w:rPr>
        <w:t xml:space="preserve">2. Symbolic Execution Engine: </w:t>
      </w:r>
      <w:r>
        <w:rPr>
          <w:rFonts w:ascii="Arial" w:hAnsi="Arial"/>
          <w:color w:val="2D3748"/>
          <w:sz w:val="20"/>
        </w:rPr>
        <w:t>Integrate Mythril or Manticore to explore execution paths and mathematically prove whether a transaction path leading to transferFrom() can revert under arbitrary state conditions.</w:t>
      </w:r>
    </w:p>
    <w:p>
      <w:pPr>
        <w:pStyle w:val="ListBullet"/>
        <w:spacing w:before="0" w:after="60" w:line="276" w:lineRule="auto"/>
      </w:pPr>
      <w:r>
        <w:rPr>
          <w:rFonts w:ascii="Arial" w:hAnsi="Arial"/>
          <w:b/>
          <w:color w:val="1A365D"/>
          <w:sz w:val="20"/>
        </w:rPr>
        <w:t xml:space="preserve">3. Automated Bytecode Decompilation: </w:t>
      </w:r>
      <w:r>
        <w:rPr>
          <w:rFonts w:ascii="Arial" w:hAnsi="Arial"/>
          <w:color w:val="2D3748"/>
          <w:sz w:val="20"/>
        </w:rPr>
        <w:t>Integrate Panoramix or Heimdall bytecode decompilers to decompile unverified bytecode into structured pseudo-Solidity, enabling full AST rule evaluation on unverified contracts.</w:t>
      </w:r>
    </w:p>
    <w:p>
      <w:pPr>
        <w:pStyle w:val="ListBullet"/>
        <w:spacing w:before="0" w:after="60" w:line="276" w:lineRule="auto"/>
      </w:pPr>
      <w:r>
        <w:rPr>
          <w:rFonts w:ascii="Arial" w:hAnsi="Arial"/>
          <w:b/>
          <w:color w:val="1A365D"/>
          <w:sz w:val="20"/>
        </w:rPr>
        <w:t xml:space="preserve">4. Liquidity Locker &amp; Rug Pull Tracking: </w:t>
      </w:r>
      <w:r>
        <w:rPr>
          <w:rFonts w:ascii="Arial" w:hAnsi="Arial"/>
          <w:color w:val="2D3748"/>
          <w:sz w:val="20"/>
        </w:rPr>
        <w:t>Query PinkSale, Unicrypt, and Team Finance APIs to audit Liquidity Provider (LP) token lock durations and burn proofs alongside source code analysis.</w:t>
      </w:r>
    </w:p>
    <w:p>
      <w:r>
        <w:br w:type="page"/>
      </w:r>
    </w:p>
    <w:p>
      <w:pPr>
        <w:pStyle w:val="Heading1"/>
        <w:keepNext/>
        <w:spacing w:before="400" w:after="160"/>
      </w:pPr>
      <w:r>
        <w:rPr>
          <w:rFonts w:ascii="Arial" w:hAnsi="Arial"/>
          <w:b/>
          <w:color w:val="1A365D"/>
          <w:sz w:val="34"/>
        </w:rPr>
        <w:t>7.0 References &amp; Academic Bibliography</w:t>
      </w:r>
    </w:p>
    <w:p>
      <w:pPr>
        <w:spacing w:before="0" w:after="120" w:line="288" w:lineRule="auto"/>
      </w:pPr>
      <w:r>
        <w:rPr>
          <w:rFonts w:ascii="Arial" w:hAnsi="Arial"/>
          <w:color w:val="2D3748"/>
          <w:sz w:val="21"/>
        </w:rPr>
        <w:t>The design, methodology, and implementation of this project are informed by the following academic research papers, EIP standards, and smart contract security resources:</w:t>
      </w:r>
    </w:p>
    <w:p>
      <w:pPr>
        <w:spacing w:before="40" w:after="80" w:line="276" w:lineRule="auto"/>
      </w:pPr>
      <w:r>
        <w:rPr>
          <w:rFonts w:ascii="Arial" w:hAnsi="Arial"/>
          <w:b/>
          <w:color w:val="1A365D"/>
          <w:sz w:val="19"/>
        </w:rPr>
        <w:t xml:space="preserve">1. Torres, C. F., Baden, M., Norvill, R., &amp; Jonker, H. (2019). </w:t>
      </w:r>
      <w:r>
        <w:rPr>
          <w:rFonts w:ascii="Arial" w:hAnsi="Arial"/>
          <w:color w:val="2D3748"/>
          <w:sz w:val="19"/>
        </w:rPr>
        <w:t>The Art of The Scam: Demystifying Honeypots in Ethereum Smart Contracts. Proceedings of the 28th USENIX Security Symposium, Santa Clara, CA, pp. 1591–1607.</w:t>
      </w:r>
    </w:p>
    <w:p>
      <w:pPr>
        <w:spacing w:before="40" w:after="80" w:line="276" w:lineRule="auto"/>
      </w:pPr>
      <w:r>
        <w:rPr>
          <w:rFonts w:ascii="Arial" w:hAnsi="Arial"/>
          <w:b/>
          <w:color w:val="1A365D"/>
          <w:sz w:val="19"/>
        </w:rPr>
        <w:t xml:space="preserve">2. Chen, W., Zheng, Z., Cui, J., Ngai, E., Zheng, P., &amp; Zhou, Y. (2020). </w:t>
      </w:r>
      <w:r>
        <w:rPr>
          <w:rFonts w:ascii="Arial" w:hAnsi="Arial"/>
          <w:color w:val="2D3748"/>
          <w:sz w:val="19"/>
        </w:rPr>
        <w:t>Detecting Honeypot Smart Contracts on Ethereum. IEEE Access, vol. 8, pp. 21124–21137.</w:t>
      </w:r>
    </w:p>
    <w:p>
      <w:pPr>
        <w:spacing w:before="40" w:after="80" w:line="276" w:lineRule="auto"/>
      </w:pPr>
      <w:r>
        <w:rPr>
          <w:rFonts w:ascii="Arial" w:hAnsi="Arial"/>
          <w:b/>
          <w:color w:val="1A365D"/>
          <w:sz w:val="19"/>
        </w:rPr>
        <w:t xml:space="preserve">3. Camacho, M. &amp; Ferreira, P. (2021). </w:t>
      </w:r>
      <w:r>
        <w:rPr>
          <w:rFonts w:ascii="Arial" w:hAnsi="Arial"/>
          <w:color w:val="2D3748"/>
          <w:sz w:val="19"/>
        </w:rPr>
        <w:t>Tokens-to-Token: Analyzing Token Swapping Honeypots on Ethereum. IEEE Transactions on Network and Service Management.</w:t>
      </w:r>
    </w:p>
    <w:p>
      <w:pPr>
        <w:spacing w:before="40" w:after="80" w:line="276" w:lineRule="auto"/>
      </w:pPr>
      <w:r>
        <w:rPr>
          <w:rFonts w:ascii="Arial" w:hAnsi="Arial"/>
          <w:b/>
          <w:color w:val="1A365D"/>
          <w:sz w:val="19"/>
        </w:rPr>
        <w:t xml:space="preserve">4. Ethereum Improvement Proposals (EIPs): </w:t>
      </w:r>
      <w:r>
        <w:rPr>
          <w:rFonts w:ascii="Arial" w:hAnsi="Arial"/>
          <w:color w:val="2D3748"/>
          <w:sz w:val="19"/>
        </w:rPr>
        <w:t>EIP-20: ERC-20 Token Standard (Fabian Vogelsteller, Vitalik Buterin, 2015); EIP-55: Mixed-case checksum address encoding (Vitalik Buterin, 2016); EIP-1967: Standard Proxy Storage Slots.</w:t>
      </w:r>
    </w:p>
    <w:p>
      <w:pPr>
        <w:spacing w:before="40" w:after="80" w:line="276" w:lineRule="auto"/>
      </w:pPr>
      <w:r>
        <w:rPr>
          <w:rFonts w:ascii="Arial" w:hAnsi="Arial"/>
          <w:b/>
          <w:color w:val="1A365D"/>
          <w:sz w:val="19"/>
        </w:rPr>
        <w:t xml:space="preserve">5. OpenZeppelin Security Consortium (2023). </w:t>
      </w:r>
      <w:r>
        <w:rPr>
          <w:rFonts w:ascii="Arial" w:hAnsi="Arial"/>
          <w:color w:val="2D3748"/>
          <w:sz w:val="19"/>
        </w:rPr>
        <w:t>OpenZeppelin Contracts: Audited, Battle-Tested Modular Smart Contract Libraries for Ethereum (ERC20.sol, Ownable.sol, Pausable.sol).</w:t>
      </w:r>
    </w:p>
    <w:p>
      <w:pPr>
        <w:spacing w:before="40" w:after="80" w:line="276" w:lineRule="auto"/>
      </w:pPr>
      <w:r>
        <w:rPr>
          <w:rFonts w:ascii="Arial" w:hAnsi="Arial"/>
          <w:b/>
          <w:color w:val="1A365D"/>
          <w:sz w:val="19"/>
        </w:rPr>
        <w:t xml:space="preserve">6. Smart Contract Weakness Classification (SWC Registry): </w:t>
      </w:r>
      <w:r>
        <w:rPr>
          <w:rFonts w:ascii="Arial" w:hAnsi="Arial"/>
          <w:color w:val="2D3748"/>
          <w:sz w:val="19"/>
        </w:rPr>
        <w:t>SWC-105 (Unprotected Ether Withdrawal), SWC-106 (Unprotected SELFDESTRUCT), SWC-112 (Delegatecall to Untrusted Callee).</w:t>
      </w:r>
    </w:p>
    <w:p>
      <w:pPr>
        <w:spacing w:before="40" w:after="80" w:line="276" w:lineRule="auto"/>
      </w:pPr>
      <w:r>
        <w:rPr>
          <w:rFonts w:ascii="Arial" w:hAnsi="Arial"/>
          <w:b/>
          <w:color w:val="1A365D"/>
          <w:sz w:val="19"/>
        </w:rPr>
        <w:t xml:space="preserve">7. Scikit-Learn Documentation: </w:t>
      </w:r>
      <w:r>
        <w:rPr>
          <w:rFonts w:ascii="Arial" w:hAnsi="Arial"/>
          <w:color w:val="2D3748"/>
          <w:sz w:val="19"/>
        </w:rPr>
        <w:t>Pedregosa et al. (2011). Scikit-learn: Machine Learning in Python. Journal of Machine Learning Research, 12, pp. 2825–2830.</w:t>
      </w:r>
    </w:p>
    <w:p>
      <w:pPr>
        <w:spacing w:before="40" w:after="80" w:line="276" w:lineRule="auto"/>
      </w:pPr>
      <w:r>
        <w:rPr>
          <w:rFonts w:ascii="Arial" w:hAnsi="Arial"/>
          <w:b/>
          <w:color w:val="1A365D"/>
          <w:sz w:val="19"/>
        </w:rPr>
        <w:t xml:space="preserve">8. Web3.py Python Library: </w:t>
      </w:r>
      <w:r>
        <w:rPr>
          <w:rFonts w:ascii="Arial" w:hAnsi="Arial"/>
          <w:color w:val="2D3748"/>
          <w:sz w:val="19"/>
        </w:rPr>
        <w:t>Piper Merriam, Jason Carver et al. Web3.py: A Python library for interacting with Ethereum, Version 6.x/7.x documentation.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18096"/>
        <w:sz w:val="16"/>
      </w:rPr>
      <w:t>Department of Computer Engineering - Academic Year 2025-2026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18096"/>
        <w:sz w:val="16"/>
      </w:rPr>
      <w:t>Blockchain Smart Contract Honeypot Attack Detector | CSDF Mini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