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Semibold" w:hAnsi="Segoe UI Semibold"/>
          <w:b/>
          <w:color w:val="1E3A8A"/>
          <w:sz w:val="44"/>
        </w:rPr>
        <w:t>TradeX — SB Stocks Entity-Relationship (ER) Diagrams</w:t>
      </w:r>
    </w:p>
    <w:p>
      <w:pPr>
        <w:spacing w:before="0" w:after="320"/>
      </w:pPr>
      <w:r>
        <w:rPr>
          <w:rFonts w:ascii="Calibri" w:hAnsi="Calibri"/>
          <w:b/>
          <w:color w:val="0F766E"/>
          <w:sz w:val="22"/>
        </w:rPr>
        <w:t>TradeX Institutional Simulation Platform  •  Technical Specification Series</w:t>
      </w:r>
    </w:p>
    <w:tbl>
      <w:tblPr>
        <w:tblW w:type="auto" w:w="0"/>
        <w:tblLook w:firstColumn="1" w:firstRow="1" w:lastColumn="0" w:lastRow="0" w:noHBand="0" w:noVBand="1" w:val="04A0"/>
      </w:tblPr>
      <w:tblGrid>
        <w:gridCol w:w="9936"/>
      </w:tblGrid>
      <w:tr>
        <w:tc>
          <w:tcPr>
            <w:tcW w:type="dxa" w:w="9936"/>
            <w:shd w:fill="1E3A8A"/>
            <w:tcMar>
              <w:top w:w="20" w:type="dxa"/>
              <w:bottom w:w="20" w:type="dxa"/>
              <w:left w:w="0" w:type="dxa"/>
              <w:right w:w="0" w:type="dxa"/>
            </w:tcMar>
          </w:tcPr>
          <w:p>
            <w:pPr>
              <w:spacing w:before="0" w:after="0"/>
            </w:pPr>
          </w:p>
        </w:tc>
      </w:tr>
    </w:tbl>
    <w:p>
      <w:pPr>
        <w:spacing w:after="160"/>
      </w:pPr>
    </w:p>
    <w:p>
      <w:pPr>
        <w:spacing w:before="0" w:after="100" w:line="276" w:lineRule="auto"/>
      </w:pPr>
      <w:r>
        <w:rPr>
          <w:rFonts w:ascii="Calibri" w:hAnsi="Calibri"/>
          <w:sz w:val="21"/>
        </w:rPr>
        <w:t xml:space="preserve">The </w:t>
      </w:r>
      <w:r>
        <w:rPr>
          <w:rFonts w:ascii="Calibri" w:hAnsi="Calibri"/>
          <w:b/>
          <w:sz w:val="21"/>
        </w:rPr>
        <w:t>SB Stocks ER Diagram</w:t>
      </w:r>
      <w:r>
        <w:rPr>
          <w:rFonts w:ascii="Calibri" w:hAnsi="Calibri"/>
          <w:sz w:val="21"/>
        </w:rPr>
        <w:t xml:space="preserve"> acts as the structural foundation of the system, clearly showcasing how different entities are connected and interact with one another. At the center of the diagram are key entities such as </w:t>
      </w:r>
      <w:r>
        <w:rPr>
          <w:rFonts w:ascii="Calibri" w:hAnsi="Calibri"/>
          <w:b/>
          <w:sz w:val="21"/>
        </w:rPr>
        <w:t>Users</w:t>
      </w:r>
      <w:r>
        <w:rPr>
          <w:rFonts w:ascii="Calibri" w:hAnsi="Calibri"/>
          <w:sz w:val="21"/>
        </w:rPr>
        <w:t xml:space="preserve">, </w:t>
      </w:r>
      <w:r>
        <w:rPr>
          <w:rFonts w:ascii="Calibri" w:hAnsi="Calibri"/>
          <w:b/>
          <w:sz w:val="21"/>
        </w:rPr>
        <w:t>Stocks</w:t>
      </w:r>
      <w:r>
        <w:rPr>
          <w:rFonts w:ascii="Calibri" w:hAnsi="Calibri"/>
          <w:sz w:val="21"/>
        </w:rPr>
        <w:t xml:space="preserve">, </w:t>
      </w:r>
      <w:r>
        <w:rPr>
          <w:rFonts w:ascii="Calibri" w:hAnsi="Calibri"/>
          <w:b/>
          <w:sz w:val="21"/>
        </w:rPr>
        <w:t>Transactions</w:t>
      </w:r>
      <w:r>
        <w:rPr>
          <w:rFonts w:ascii="Calibri" w:hAnsi="Calibri"/>
          <w:sz w:val="21"/>
        </w:rPr>
        <w:t xml:space="preserve">, </w:t>
      </w:r>
      <w:r>
        <w:rPr>
          <w:rFonts w:ascii="Calibri" w:hAnsi="Calibri"/>
          <w:b/>
          <w:sz w:val="21"/>
        </w:rPr>
        <w:t>Portfolios</w:t>
      </w:r>
      <w:r>
        <w:rPr>
          <w:rFonts w:ascii="Calibri" w:hAnsi="Calibri"/>
          <w:sz w:val="21"/>
        </w:rPr>
        <w:t xml:space="preserve">, and </w:t>
      </w:r>
      <w:r>
        <w:rPr>
          <w:rFonts w:ascii="Calibri" w:hAnsi="Calibri"/>
          <w:b/>
          <w:sz w:val="21"/>
        </w:rPr>
        <w:t>Market Data</w:t>
      </w:r>
      <w:r>
        <w:rPr>
          <w:rFonts w:ascii="Calibri" w:hAnsi="Calibri"/>
          <w:sz w:val="21"/>
        </w:rPr>
        <w:t>. Each User is uniquely identified within the system and can create and manage multiple Virtual Portfolios. These portfolios are designed to hold a variety of Stocks, enabling users to diversify their simulated investments.</w:t>
      </w:r>
    </w:p>
    <w:p>
      <w:pPr>
        <w:spacing w:before="0" w:after="100" w:line="276" w:lineRule="auto"/>
      </w:pPr>
      <w:r>
        <w:rPr>
          <w:rFonts w:ascii="Calibri" w:hAnsi="Calibri"/>
          <w:sz w:val="21"/>
        </w:rPr>
        <w:t xml:space="preserve">The </w:t>
      </w:r>
      <w:r>
        <w:rPr>
          <w:rFonts w:ascii="Calibri" w:hAnsi="Calibri"/>
          <w:b/>
          <w:sz w:val="21"/>
        </w:rPr>
        <w:t>Transaction</w:t>
      </w:r>
      <w:r>
        <w:rPr>
          <w:rFonts w:ascii="Calibri" w:hAnsi="Calibri"/>
          <w:sz w:val="21"/>
        </w:rPr>
        <w:t xml:space="preserve"> entity plays a critical role by recording every buy or sell action performed by the user. Each transaction is directly linked to both a User (who initiates the action) and a Stock (being traded), ensuring a clear trace of trading activity. The </w:t>
      </w:r>
      <w:r>
        <w:rPr>
          <w:rFonts w:ascii="Calibri" w:hAnsi="Calibri"/>
          <w:b/>
          <w:sz w:val="21"/>
        </w:rPr>
        <w:t>Market Data</w:t>
      </w:r>
      <w:r>
        <w:rPr>
          <w:rFonts w:ascii="Calibri" w:hAnsi="Calibri"/>
          <w:sz w:val="21"/>
        </w:rPr>
        <w:t xml:space="preserve"> entity enriches the system by providing both real-time stock prices and historical performance data, which support informed decision-making and accurate trading simulations.</w:t>
      </w:r>
    </w:p>
    <w:p>
      <w:pPr>
        <w:spacing w:before="0" w:after="100" w:line="276" w:lineRule="auto"/>
      </w:pPr>
      <w:r>
        <w:rPr>
          <w:rFonts w:ascii="Calibri" w:hAnsi="Calibri"/>
          <w:sz w:val="21"/>
        </w:rPr>
        <w:t>The relationships between these entities highlight the depth and realism of the system. For example, one user can execute multiple transactions, and a single stock can exist simultaneously in numerous portfolios, reflecting real-world trading dynamics. This interconnected framework allows users not only to buy and sell stocks but also to monitor portfolio growth, test diverse trading strategies, and learn the intricacies of stock trading in a risk-free environment. Ultimately, the ER diagram captures the core essence of SB Stocks: a well-structured, interactive simulation that bridges learning and practice by modeling realistic market relationships.</w:t>
      </w:r>
    </w:p>
    <w:p>
      <w:pPr>
        <w:spacing w:before="80" w:after="80"/>
      </w:pPr>
    </w:p>
    <w:p>
      <w:pPr>
        <w:pStyle w:val="Heading1"/>
        <w:keepNext/>
        <w:spacing w:before="280" w:after="80"/>
      </w:pPr>
      <w:r>
        <w:rPr>
          <w:rFonts w:ascii="Segoe UI Semibold" w:hAnsi="Segoe UI Semibold"/>
          <w:b/>
          <w:color w:val="1E3A8A"/>
          <w:sz w:val="32"/>
        </w:rPr>
        <w:t>📐 Visual ER Schema Diagram</w:t>
      </w:r>
    </w:p>
    <w:p>
      <w:pPr>
        <w:spacing w:before="0" w:after="100" w:line="276" w:lineRule="auto"/>
      </w:pPr>
      <w:r>
        <w:rPr>
          <w:rFonts w:ascii="Calibri" w:hAnsi="Calibri"/>
          <w:sz w:val="21"/>
        </w:rPr>
        <w:t>The diagram below outlines the primary data collections, attributes, and hierarchical entity structures defined in the SB Stocks simulation database:</w:t>
      </w:r>
    </w:p>
    <w:p>
      <w:pPr>
        <w:spacing w:before="160" w:after="40"/>
        <w:jc w:val="center"/>
      </w:pPr>
    </w:p>
    <w:p>
      <w:r>
        <w:drawing>
          <wp:inline xmlns:a="http://schemas.openxmlformats.org/drawingml/2006/main" xmlns:pic="http://schemas.openxmlformats.org/drawingml/2006/picture">
            <wp:extent cx="5486400" cy="1853803"/>
            <wp:docPr id="1" name="Picture 1"/>
            <wp:cNvGraphicFramePr>
              <a:graphicFrameLocks noChangeAspect="1"/>
            </wp:cNvGraphicFramePr>
            <a:graphic>
              <a:graphicData uri="http://schemas.openxmlformats.org/drawingml/2006/picture">
                <pic:pic>
                  <pic:nvPicPr>
                    <pic:cNvPr id="0" name="sb_stocks_er_diagram.png"/>
                    <pic:cNvPicPr/>
                  </pic:nvPicPr>
                  <pic:blipFill>
                    <a:blip r:embed="rId11"/>
                    <a:stretch>
                      <a:fillRect/>
                    </a:stretch>
                  </pic:blipFill>
                  <pic:spPr>
                    <a:xfrm>
                      <a:off x="0" y="0"/>
                      <a:ext cx="5486400" cy="1853803"/>
                    </a:xfrm>
                    <a:prstGeom prst="rect"/>
                  </pic:spPr>
                </pic:pic>
              </a:graphicData>
            </a:graphic>
          </wp:inline>
        </w:drawing>
      </w:r>
    </w:p>
    <w:p>
      <w:pPr>
        <w:spacing w:before="40" w:after="160"/>
        <w:jc w:val="center"/>
      </w:pPr>
      <w:r>
        <w:rPr>
          <w:rFonts w:ascii="Calibri" w:hAnsi="Calibri"/>
          <w:i/>
          <w:color w:val="64748B"/>
          <w:sz w:val="18"/>
        </w:rPr>
        <w:t>Figure: SB Stocks ER Diagram</w:t>
      </w:r>
    </w:p>
    <w:p>
      <w:pPr>
        <w:spacing w:before="80" w:after="80"/>
      </w:pPr>
    </w:p>
    <w:p>
      <w:pPr>
        <w:pStyle w:val="Heading1"/>
        <w:keepNext/>
        <w:spacing w:before="280" w:after="80"/>
      </w:pPr>
      <w:r>
        <w:rPr>
          <w:rFonts w:ascii="Segoe UI Semibold" w:hAnsi="Segoe UI Semibold"/>
          <w:b/>
          <w:color w:val="1E3A8A"/>
          <w:sz w:val="32"/>
        </w:rPr>
        <w:t>📊 Schema &amp; Entity Relationships</w:t>
      </w:r>
    </w:p>
    <w:p>
      <w:pPr>
        <w:spacing w:before="0" w:after="100" w:line="276" w:lineRule="auto"/>
      </w:pPr>
      <w:r>
        <w:rPr>
          <w:rFonts w:ascii="Calibri" w:hAnsi="Calibri"/>
          <w:sz w:val="21"/>
        </w:rPr>
        <w:t>The interactive Mermaid entity-relationship diagram below maps out the entities, their structural attributes, foreign key dependencies, and relational cardinalities:</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erDiagram</w:t>
              <w:br/>
              <w:t xml:space="preserve">    USERS ||--o{ STOCKS : "holds in portfolio"</w:t>
              <w:br/>
              <w:t xml:space="preserve">    USERS ||--o{ STOCKS_ORDERS : "places"</w:t>
              <w:br/>
              <w:t xml:space="preserve">    USERS ||--o{ TRANSACTIONS : "executes"</w:t>
              <w:br/>
              <w:t xml:space="preserve">    STOCKS ||--o{ STOCKS_ORDERS : "referenced by"</w:t>
              <w:br/>
              <w:br/>
              <w:t xml:space="preserve">    USERS {</w:t>
              <w:br/>
              <w:t xml:space="preserve">        ObjectId _id PK "Unique User Identifier"</w:t>
              <w:br/>
              <w:t xml:space="preserve">        string Username "Trader username"</w:t>
              <w:br/>
              <w:t xml:space="preserve">        string email UK "Unique email address"</w:t>
              <w:br/>
              <w:t xml:space="preserve">        string password "Hashed credential"</w:t>
              <w:br/>
              <w:t xml:space="preserve">        string UserType "User | Admin"</w:t>
              <w:br/>
              <w:t xml:space="preserve">    }</w:t>
              <w:br/>
              <w:br/>
              <w:t xml:space="preserve">    STOCKS {</w:t>
              <w:br/>
              <w:t xml:space="preserve">        ObjectId _id PK "Unique Stock Holding ID"</w:t>
              <w:br/>
              <w:t xml:space="preserve">        ObjectId UserId FK "Owner reference"</w:t>
              <w:br/>
              <w:t xml:space="preserve">        string Stock_Symbol "Stock Ticker (e.g., AAPL)"</w:t>
              <w:br/>
              <w:t xml:space="preserve">        string Stock_name "Company name"</w:t>
              <w:br/>
              <w:t xml:space="preserve">        number Price "Purchase / current price"</w:t>
              <w:br/>
              <w:t xml:space="preserve">        number Count "Quantity of shares"</w:t>
              <w:br/>
              <w:t xml:space="preserve">        number Total_price "Calculated total value"</w:t>
              <w:br/>
              <w:t xml:space="preserve">        string Stock_Exchange "Exchange (e.g., NASDAQ, NYSE)"</w:t>
              <w:br/>
              <w:t xml:space="preserve">    }</w:t>
              <w:br/>
              <w:br/>
              <w:t xml:space="preserve">    TRANSACTIONS {</w:t>
              <w:br/>
              <w:t xml:space="preserve">        ObjectId _id PK "Unique Transaction ID"</w:t>
              <w:br/>
              <w:t xml:space="preserve">        ObjectId userId FK "Executing user ID"</w:t>
              <w:br/>
              <w:t xml:space="preserve">        string Transaction_type "Deposit | Withdrawal | Buy | Sell"</w:t>
              <w:br/>
              <w:t xml:space="preserve">        string Payment_mode "Wallet | Bank Transfer | UPI | Card"</w:t>
              <w:br/>
              <w:t xml:space="preserve">        number Amount "Monetary amount"</w:t>
              <w:br/>
              <w:t xml:space="preserve">        datetime Time "Audit timestamp"</w:t>
              <w:br/>
              <w:t xml:space="preserve">    }</w:t>
              <w:br/>
              <w:br/>
              <w:t xml:space="preserve">    STOCKS_ORDERS {</w:t>
              <w:br/>
              <w:t xml:space="preserve">        ObjectId _id PK "Unique Order ID"</w:t>
              <w:br/>
              <w:t xml:space="preserve">        ObjectId UserId FK "Placing user ID"</w:t>
              <w:br/>
              <w:t xml:space="preserve">        string Stock_Symbol "Stock Ticker (e.g., TSLA)"</w:t>
              <w:br/>
              <w:t xml:space="preserve">        string Stock_name "Company name"</w:t>
              <w:br/>
              <w:t xml:space="preserve">        number Price "Target / execution price"</w:t>
              <w:br/>
              <w:t xml:space="preserve">        number Count "Number of shares"</w:t>
              <w:br/>
              <w:t xml:space="preserve">        number Total_price "Total order amount"</w:t>
              <w:br/>
              <w:t xml:space="preserve">        string Stock_Type "Equity | ETF | Index"</w:t>
              <w:br/>
              <w:t xml:space="preserve">        string Order_Type "BUY | SELL"</w:t>
              <w:br/>
              <w:t xml:space="preserve">        string Order_Status "PENDING | EXECUTED | CANCELLED"</w:t>
              <w:br/>
              <w:t xml:space="preserve">    }</w:t>
            </w:r>
          </w:p>
        </w:tc>
      </w:tr>
    </w:tbl>
    <w:p>
      <w:pPr>
        <w:spacing w:before="0" w:after="80"/>
      </w:pPr>
    </w:p>
    <w:p>
      <w:pPr>
        <w:spacing w:before="80" w:after="80"/>
      </w:pPr>
    </w:p>
    <w:p>
      <w:pPr>
        <w:pStyle w:val="Heading1"/>
        <w:keepNext/>
        <w:spacing w:before="280" w:after="80"/>
      </w:pPr>
      <w:r>
        <w:rPr>
          <w:rFonts w:ascii="Segoe UI Semibold" w:hAnsi="Segoe UI Semibold"/>
          <w:b/>
          <w:color w:val="1E3A8A"/>
          <w:sz w:val="32"/>
        </w:rPr>
        <w:t>📋 Comprehensive Entity-Attribute Dictionary</w:t>
      </w:r>
    </w:p>
    <w:p>
      <w:pPr>
        <w:pStyle w:val="Heading2"/>
        <w:keepNext/>
        <w:spacing w:before="200" w:after="80"/>
      </w:pPr>
      <w:r>
        <w:rPr>
          <w:rFonts w:ascii="Segoe UI Semibold" w:hAnsi="Segoe UI Semibold"/>
          <w:b/>
          <w:color w:val="0F766E"/>
          <w:sz w:val="26"/>
        </w:rPr>
        <w:t>1. `Users` Entity</w:t>
      </w:r>
    </w:p>
    <w:p>
      <w:pPr>
        <w:spacing w:before="0" w:after="100" w:line="276" w:lineRule="auto"/>
      </w:pPr>
      <w:r>
        <w:rPr>
          <w:rFonts w:ascii="Calibri" w:hAnsi="Calibri"/>
          <w:sz w:val="21"/>
        </w:rPr>
        <w:t xml:space="preserve">The </w:t>
      </w:r>
      <w:r>
        <w:rPr>
          <w:rFonts w:ascii="Consolas" w:hAnsi="Consolas"/>
          <w:color w:val="B91C1C"/>
          <w:sz w:val="19"/>
        </w:rPr>
        <w:t>Users</w:t>
      </w:r>
      <w:r>
        <w:rPr>
          <w:rFonts w:ascii="Calibri" w:hAnsi="Calibri"/>
          <w:sz w:val="21"/>
        </w:rPr>
        <w:t xml:space="preserve"> collection represents individual registered traders and platform administrators. It establishes identity, security authentication, and ownership of virtual portfolios and transactions.</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656"/>
        <w:gridCol w:w="1656"/>
        <w:gridCol w:w="1656"/>
        <w:gridCol w:w="1656"/>
        <w:gridCol w:w="1656"/>
        <w:gridCol w:w="1656"/>
      </w:tblGrid>
      <w:tr>
        <w:tc>
          <w:tcPr>
            <w:tcW w:type="dxa" w:w="1656"/>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Attribute</w:t>
            </w:r>
          </w:p>
        </w:tc>
        <w:tc>
          <w:tcPr>
            <w:tcW w:type="dxa" w:w="1656"/>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Data Type</w:t>
            </w:r>
          </w:p>
        </w:tc>
        <w:tc>
          <w:tcPr>
            <w:tcW w:type="dxa" w:w="1656"/>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Key / Constraint</w:t>
            </w:r>
          </w:p>
        </w:tc>
        <w:tc>
          <w:tcPr>
            <w:tcW w:type="dxa" w:w="1656"/>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Description</w:t>
            </w:r>
          </w:p>
        </w:tc>
        <w:tc>
          <w:tcPr>
            <w:tcW w:type="dxa" w:w="1656"/>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Example Value</w:t>
            </w:r>
          </w:p>
        </w:tc>
        <w:tc>
          <w:tcPr>
            <w:tcW w:type="dxa" w:w="1656"/>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r>
          </w:p>
        </w:tc>
      </w:tr>
      <w:tr>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656"/>
            <w:vAlign w:val="center"/>
            <w:tcMar>
              <w:top w:w="100" w:type="dxa"/>
              <w:bottom w:w="100" w:type="dxa"/>
              <w:left w:w="140" w:type="dxa"/>
              <w:right w:w="140" w:type="dxa"/>
            </w:tcMar>
            <w:shd w:fill="F8FAFC"/>
          </w:tcPr>
          <w:p>
            <w:pPr>
              <w:spacing w:before="0" w:after="0" w:line="264" w:lineRule="auto"/>
            </w:pPr>
          </w:p>
        </w:tc>
      </w:tr>
      <w:tr>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_id</w:t>
            </w:r>
          </w:p>
        </w:tc>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ObjectId</w:t>
            </w:r>
          </w:p>
        </w:tc>
        <w:tc>
          <w:tcPr>
            <w:tcW w:type="dxa" w:w="1656"/>
            <w:vAlign w:val="center"/>
            <w:tcMar>
              <w:top w:w="100" w:type="dxa"/>
              <w:bottom w:w="100" w:type="dxa"/>
              <w:left w:w="140" w:type="dxa"/>
              <w:right w:w="140" w:type="dxa"/>
            </w:tcMar>
            <w:shd w:fill="FFFFFF"/>
          </w:tcPr>
          <w:p>
            <w:pPr>
              <w:spacing w:before="0" w:after="0" w:line="264" w:lineRule="auto"/>
            </w:pPr>
            <w:r>
              <w:rPr>
                <w:rFonts w:ascii="Calibri" w:hAnsi="Calibri"/>
                <w:b/>
                <w:sz w:val="21"/>
              </w:rPr>
              <w:t>Primary Key (PK)</w:t>
            </w:r>
          </w:p>
        </w:tc>
        <w:tc>
          <w:tcPr>
            <w:tcW w:type="dxa" w:w="1656"/>
            <w:vAlign w:val="center"/>
            <w:tcMar>
              <w:top w:w="100" w:type="dxa"/>
              <w:bottom w:w="100" w:type="dxa"/>
              <w:left w:w="140" w:type="dxa"/>
              <w:right w:w="140" w:type="dxa"/>
            </w:tcMar>
            <w:shd w:fill="FFFFFF"/>
          </w:tcPr>
          <w:p>
            <w:pPr>
              <w:spacing w:before="0" w:after="0" w:line="264" w:lineRule="auto"/>
            </w:pPr>
            <w:r>
              <w:rPr>
                <w:rFonts w:ascii="Calibri" w:hAnsi="Calibri"/>
                <w:sz w:val="21"/>
              </w:rPr>
              <w:t>System-generated unique identifier</w:t>
            </w:r>
          </w:p>
        </w:tc>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ObjectId("652c1e8b7a9f1b001a1c4e01")</w:t>
            </w:r>
          </w:p>
        </w:tc>
        <w:tc>
          <w:tcPr>
            <w:tcW w:type="dxa" w:w="1656"/>
            <w:vAlign w:val="center"/>
            <w:tcMar>
              <w:top w:w="100" w:type="dxa"/>
              <w:bottom w:w="100" w:type="dxa"/>
              <w:left w:w="140" w:type="dxa"/>
              <w:right w:w="140" w:type="dxa"/>
            </w:tcMar>
            <w:shd w:fill="FFFFFF"/>
          </w:tcPr>
          <w:p>
            <w:pPr>
              <w:spacing w:before="0" w:after="0" w:line="264" w:lineRule="auto"/>
            </w:pPr>
          </w:p>
        </w:tc>
      </w:tr>
      <w:tr>
        <w:tc>
          <w:tcPr>
            <w:tcW w:type="dxa" w:w="1656"/>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Username</w:t>
            </w:r>
          </w:p>
        </w:tc>
        <w:tc>
          <w:tcPr>
            <w:tcW w:type="dxa" w:w="1656"/>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String</w:t>
            </w:r>
          </w:p>
        </w:tc>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Required</w:t>
            </w:r>
          </w:p>
        </w:tc>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Unique display handle of the trader</w:t>
            </w:r>
          </w:p>
        </w:tc>
        <w:tc>
          <w:tcPr>
            <w:tcW w:type="dxa" w:w="1656"/>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"alex_trader"</w:t>
            </w:r>
          </w:p>
        </w:tc>
        <w:tc>
          <w:tcPr>
            <w:tcW w:type="dxa" w:w="1656"/>
            <w:vAlign w:val="center"/>
            <w:tcMar>
              <w:top w:w="100" w:type="dxa"/>
              <w:bottom w:w="100" w:type="dxa"/>
              <w:left w:w="140" w:type="dxa"/>
              <w:right w:w="140" w:type="dxa"/>
            </w:tcMar>
            <w:shd w:fill="F8FAFC"/>
          </w:tcPr>
          <w:p>
            <w:pPr>
              <w:spacing w:before="0" w:after="0" w:line="264" w:lineRule="auto"/>
            </w:pPr>
          </w:p>
        </w:tc>
      </w:tr>
      <w:tr>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email</w:t>
            </w:r>
          </w:p>
        </w:tc>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String</w:t>
            </w:r>
          </w:p>
        </w:tc>
        <w:tc>
          <w:tcPr>
            <w:tcW w:type="dxa" w:w="1656"/>
            <w:vAlign w:val="center"/>
            <w:tcMar>
              <w:top w:w="100" w:type="dxa"/>
              <w:bottom w:w="100" w:type="dxa"/>
              <w:left w:w="140" w:type="dxa"/>
              <w:right w:w="140" w:type="dxa"/>
            </w:tcMar>
            <w:shd w:fill="FFFFFF"/>
          </w:tcPr>
          <w:p>
            <w:pPr>
              <w:spacing w:before="0" w:after="0" w:line="264" w:lineRule="auto"/>
            </w:pPr>
            <w:r>
              <w:rPr>
                <w:rFonts w:ascii="Calibri" w:hAnsi="Calibri"/>
                <w:sz w:val="21"/>
              </w:rPr>
              <w:t>Required, Unique (</w:t>
            </w:r>
            <w:r>
              <w:rPr>
                <w:rFonts w:ascii="Calibri" w:hAnsi="Calibri"/>
                <w:b/>
                <w:sz w:val="21"/>
              </w:rPr>
              <w:t>UK</w:t>
            </w:r>
            <w:r>
              <w:rPr>
                <w:rFonts w:ascii="Calibri" w:hAnsi="Calibri"/>
                <w:sz w:val="21"/>
              </w:rPr>
              <w:t>)</w:t>
            </w:r>
          </w:p>
        </w:tc>
        <w:tc>
          <w:tcPr>
            <w:tcW w:type="dxa" w:w="1656"/>
            <w:vAlign w:val="center"/>
            <w:tcMar>
              <w:top w:w="100" w:type="dxa"/>
              <w:bottom w:w="100" w:type="dxa"/>
              <w:left w:w="140" w:type="dxa"/>
              <w:right w:w="140" w:type="dxa"/>
            </w:tcMar>
            <w:shd w:fill="FFFFFF"/>
          </w:tcPr>
          <w:p>
            <w:pPr>
              <w:spacing w:before="0" w:after="0" w:line="264" w:lineRule="auto"/>
            </w:pPr>
            <w:r>
              <w:rPr>
                <w:rFonts w:ascii="Calibri" w:hAnsi="Calibri"/>
                <w:sz w:val="21"/>
              </w:rPr>
              <w:t>Contact email address used for login and notifications</w:t>
            </w:r>
          </w:p>
        </w:tc>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"alex.investor@example.com"</w:t>
            </w:r>
          </w:p>
        </w:tc>
        <w:tc>
          <w:tcPr>
            <w:tcW w:type="dxa" w:w="1656"/>
            <w:vAlign w:val="center"/>
            <w:tcMar>
              <w:top w:w="100" w:type="dxa"/>
              <w:bottom w:w="100" w:type="dxa"/>
              <w:left w:w="140" w:type="dxa"/>
              <w:right w:w="140" w:type="dxa"/>
            </w:tcMar>
            <w:shd w:fill="FFFFFF"/>
          </w:tcPr>
          <w:p>
            <w:pPr>
              <w:spacing w:before="0" w:after="0" w:line="264" w:lineRule="auto"/>
            </w:pPr>
          </w:p>
        </w:tc>
      </w:tr>
      <w:tr>
        <w:tc>
          <w:tcPr>
            <w:tcW w:type="dxa" w:w="1656"/>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password</w:t>
            </w:r>
          </w:p>
        </w:tc>
        <w:tc>
          <w:tcPr>
            <w:tcW w:type="dxa" w:w="1656"/>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String</w:t>
            </w:r>
          </w:p>
        </w:tc>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Required</w:t>
            </w:r>
          </w:p>
        </w:tc>
        <w:tc>
          <w:tcPr>
            <w:tcW w:type="dxa" w:w="1656"/>
            <w:vAlign w:val="center"/>
            <w:tcMar>
              <w:top w:w="100" w:type="dxa"/>
              <w:bottom w:w="100" w:type="dxa"/>
              <w:left w:w="140" w:type="dxa"/>
              <w:right w:w="140" w:type="dxa"/>
            </w:tcMar>
            <w:shd w:fill="F8FAFC"/>
          </w:tcPr>
          <w:p>
            <w:pPr>
              <w:spacing w:before="0" w:after="0" w:line="264" w:lineRule="auto"/>
            </w:pPr>
            <w:r>
              <w:rPr>
                <w:rFonts w:ascii="Calibri" w:hAnsi="Calibri"/>
                <w:sz w:val="21"/>
              </w:rPr>
              <w:t>Salted and hashed password string (</w:t>
            </w:r>
            <w:r>
              <w:rPr>
                <w:rFonts w:ascii="Consolas" w:hAnsi="Consolas"/>
                <w:color w:val="B91C1C"/>
                <w:sz w:val="19"/>
              </w:rPr>
              <w:t>bcryptjs</w:t>
            </w:r>
            <w:r>
              <w:rPr>
                <w:rFonts w:ascii="Calibri" w:hAnsi="Calibri"/>
                <w:sz w:val="21"/>
              </w:rPr>
              <w:t>)</w:t>
            </w:r>
          </w:p>
        </w:tc>
        <w:tc>
          <w:tcPr>
            <w:tcW w:type="dxa" w:w="1656"/>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"$2a$12$e8xL...7KqY9"</w:t>
            </w:r>
          </w:p>
        </w:tc>
        <w:tc>
          <w:tcPr>
            <w:tcW w:type="dxa" w:w="1656"/>
            <w:vAlign w:val="center"/>
            <w:tcMar>
              <w:top w:w="100" w:type="dxa"/>
              <w:bottom w:w="100" w:type="dxa"/>
              <w:left w:w="140" w:type="dxa"/>
              <w:right w:w="140" w:type="dxa"/>
            </w:tcMar>
            <w:shd w:fill="F8FAFC"/>
          </w:tcPr>
          <w:p>
            <w:pPr>
              <w:spacing w:before="0" w:after="0" w:line="264" w:lineRule="auto"/>
            </w:pPr>
          </w:p>
        </w:tc>
      </w:tr>
      <w:tr>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UserType</w:t>
            </w:r>
          </w:p>
        </w:tc>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String</w:t>
            </w:r>
          </w:p>
        </w:tc>
        <w:tc>
          <w:tcPr>
            <w:tcW w:type="dxa" w:w="1656"/>
            <w:vAlign w:val="center"/>
            <w:tcMar>
              <w:top w:w="100" w:type="dxa"/>
              <w:bottom w:w="100" w:type="dxa"/>
              <w:left w:w="140" w:type="dxa"/>
              <w:right w:w="140" w:type="dxa"/>
            </w:tcMar>
            <w:shd w:fill="FFFFFF"/>
          </w:tcPr>
          <w:p>
            <w:pPr>
              <w:spacing w:before="0" w:after="0" w:line="264" w:lineRule="auto"/>
            </w:pPr>
            <w:r>
              <w:rPr>
                <w:rFonts w:ascii="Calibri" w:hAnsi="Calibri"/>
                <w:sz w:val="21"/>
              </w:rPr>
              <w:t>Required, Enum</w:t>
            </w:r>
          </w:p>
        </w:tc>
        <w:tc>
          <w:tcPr>
            <w:tcW w:type="dxa" w:w="1656"/>
            <w:vAlign w:val="center"/>
            <w:tcMar>
              <w:top w:w="100" w:type="dxa"/>
              <w:bottom w:w="100" w:type="dxa"/>
              <w:left w:w="140" w:type="dxa"/>
              <w:right w:w="140" w:type="dxa"/>
            </w:tcMar>
            <w:shd w:fill="FFFFFF"/>
          </w:tcPr>
          <w:p>
            <w:pPr>
              <w:spacing w:before="0" w:after="0" w:line="264" w:lineRule="auto"/>
            </w:pPr>
            <w:r>
              <w:rPr>
                <w:rFonts w:ascii="Calibri" w:hAnsi="Calibri"/>
                <w:sz w:val="21"/>
              </w:rPr>
              <w:t>Role defining permissions (</w:t>
            </w:r>
            <w:r>
              <w:rPr>
                <w:rFonts w:ascii="Consolas" w:hAnsi="Consolas"/>
                <w:color w:val="B91C1C"/>
                <w:sz w:val="19"/>
              </w:rPr>
              <w:t>User</w:t>
            </w:r>
            <w:r>
              <w:rPr>
                <w:rFonts w:ascii="Calibri" w:hAnsi="Calibri"/>
                <w:sz w:val="21"/>
              </w:rPr>
              <w:t xml:space="preserve"> \</w:t>
            </w:r>
          </w:p>
        </w:tc>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Admin</w:t>
            </w:r>
            <w:r>
              <w:rPr>
                <w:rFonts w:ascii="Calibri" w:hAnsi="Calibri"/>
                <w:sz w:val="21"/>
              </w:rPr>
              <w:t>)</w:t>
            </w:r>
          </w:p>
        </w:tc>
        <w:tc>
          <w:tcPr>
            <w:tcW w:type="dxa" w:w="1656"/>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"User"</w:t>
            </w:r>
          </w:p>
        </w:tc>
      </w:tr>
    </w:tbl>
    <w:p>
      <w:pPr>
        <w:spacing w:before="0" w:after="120"/>
      </w:pPr>
    </w:p>
    <w:p>
      <w:pPr>
        <w:spacing w:before="80" w:after="80"/>
      </w:pPr>
    </w:p>
    <w:p>
      <w:pPr>
        <w:pStyle w:val="Heading2"/>
        <w:keepNext/>
        <w:spacing w:before="200" w:after="80"/>
      </w:pPr>
      <w:r>
        <w:rPr>
          <w:rFonts w:ascii="Segoe UI Semibold" w:hAnsi="Segoe UI Semibold"/>
          <w:b/>
          <w:color w:val="0F766E"/>
          <w:sz w:val="26"/>
        </w:rPr>
        <w:t>2. `Stocks` Entity (Portfolio Holdings)</w:t>
      </w:r>
    </w:p>
    <w:p>
      <w:pPr>
        <w:spacing w:before="0" w:after="100" w:line="276" w:lineRule="auto"/>
      </w:pPr>
      <w:r>
        <w:rPr>
          <w:rFonts w:ascii="Calibri" w:hAnsi="Calibri"/>
          <w:sz w:val="21"/>
        </w:rPr>
        <w:t xml:space="preserve">The </w:t>
      </w:r>
      <w:r>
        <w:rPr>
          <w:rFonts w:ascii="Consolas" w:hAnsi="Consolas"/>
          <w:color w:val="B91C1C"/>
          <w:sz w:val="19"/>
        </w:rPr>
        <w:t>Stocks</w:t>
      </w:r>
      <w:r>
        <w:rPr>
          <w:rFonts w:ascii="Calibri" w:hAnsi="Calibri"/>
          <w:sz w:val="21"/>
        </w:rPr>
        <w:t xml:space="preserve"> collection represents active stock holdings belonging to a user's portfolio. It tracks positions, average acquisition costs, and total valuation across US market exchanges.</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987"/>
        <w:gridCol w:w="1987"/>
        <w:gridCol w:w="1987"/>
        <w:gridCol w:w="1987"/>
        <w:gridCol w:w="1987"/>
      </w:tblGrid>
      <w:tr>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Attribute</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Data Type</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Key / Constraint</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Description</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Example Value</w:t>
            </w:r>
          </w:p>
        </w:tc>
      </w:tr>
      <w:tr>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_id</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ObjectId</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b/>
                <w:sz w:val="21"/>
              </w:rPr>
              <w:t>Primary Key (PK)</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Unique identifier for the holding record</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ObjectId("652c201d7a9f1b001a1c4e02")</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UserId</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ObjectId</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b/>
                <w:sz w:val="21"/>
              </w:rPr>
              <w:t>Foreign Key (FK)</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 xml:space="preserve">Reference to the owning </w:t>
            </w:r>
            <w:r>
              <w:rPr>
                <w:rFonts w:ascii="Consolas" w:hAnsi="Consolas"/>
                <w:color w:val="B91C1C"/>
                <w:sz w:val="19"/>
              </w:rPr>
              <w:t>Users._id</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ObjectId("652c1e8b7a9f1b001a1c4e01")</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Stock Symbol</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String</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Required, Indexed</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Ticker symbol of the stock</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"AAPL"</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Stock name</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String</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Required</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Full corporate name of the equity</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"Apple Inc."</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Price</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Number</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Required</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Average acquisition or current unit price in USD</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182.50</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Count</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Number</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Required, Min: 1</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Quantity of shares held in the portfolio</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10</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Total price</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Number</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Required</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Total valuation of the holding (</w:t>
            </w:r>
            <w:r>
              <w:rPr>
                <w:rFonts w:ascii="Consolas" w:hAnsi="Consolas"/>
                <w:color w:val="B91C1C"/>
                <w:sz w:val="19"/>
              </w:rPr>
              <w:t>Price * Count</w:t>
            </w:r>
            <w:r>
              <w:rPr>
                <w:rFonts w:ascii="Calibri" w:hAnsi="Calibri"/>
                <w:sz w:val="21"/>
              </w:rPr>
              <w:t>)</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1825.00</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Stock Exchange</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String</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Required</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Primary exchange where the equity trades</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"NASDAQ"</w:t>
            </w:r>
          </w:p>
        </w:tc>
      </w:tr>
    </w:tbl>
    <w:p>
      <w:pPr>
        <w:spacing w:before="0" w:after="120"/>
      </w:pPr>
    </w:p>
    <w:p>
      <w:pPr>
        <w:spacing w:before="80" w:after="80"/>
      </w:pPr>
    </w:p>
    <w:p>
      <w:pPr>
        <w:pStyle w:val="Heading2"/>
        <w:keepNext/>
        <w:spacing w:before="200" w:after="80"/>
      </w:pPr>
      <w:r>
        <w:rPr>
          <w:rFonts w:ascii="Segoe UI Semibold" w:hAnsi="Segoe UI Semibold"/>
          <w:b/>
          <w:color w:val="0F766E"/>
          <w:sz w:val="26"/>
        </w:rPr>
        <w:t>3. `Transactions` Entity</w:t>
      </w:r>
    </w:p>
    <w:p>
      <w:pPr>
        <w:spacing w:before="0" w:after="100" w:line="276" w:lineRule="auto"/>
      </w:pPr>
      <w:r>
        <w:rPr>
          <w:rFonts w:ascii="Calibri" w:hAnsi="Calibri"/>
          <w:sz w:val="21"/>
        </w:rPr>
        <w:t xml:space="preserve">The </w:t>
      </w:r>
      <w:r>
        <w:rPr>
          <w:rFonts w:ascii="Consolas" w:hAnsi="Consolas"/>
          <w:color w:val="B91C1C"/>
          <w:sz w:val="19"/>
        </w:rPr>
        <w:t>Transactions</w:t>
      </w:r>
      <w:r>
        <w:rPr>
          <w:rFonts w:ascii="Calibri" w:hAnsi="Calibri"/>
          <w:sz w:val="21"/>
        </w:rPr>
        <w:t xml:space="preserve"> collection maintains an immutable audit trail of every financial activity in the system, including cash deposits, withdrawals, and stock order settlement receipts.</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242"/>
        <w:gridCol w:w="1242"/>
        <w:gridCol w:w="1242"/>
        <w:gridCol w:w="1242"/>
        <w:gridCol w:w="1242"/>
        <w:gridCol w:w="1242"/>
        <w:gridCol w:w="1242"/>
        <w:gridCol w:w="1242"/>
      </w:tblGrid>
      <w:tr>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Attribute</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Data Type</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Key / Constraint</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Description</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Example Value</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r>
          </w:p>
        </w:tc>
      </w:tr>
      <w:tr>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r>
      <w:tr>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_id</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ObjectId</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b/>
                <w:sz w:val="21"/>
              </w:rPr>
              <w:t>Primary Key (PK)</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Unique transaction reference identifier</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ObjectId("652c23ab7a9f1b001a1c4e03")</w:t>
            </w: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r>
      <w:tr>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userId</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ObjectId</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b/>
                <w:sz w:val="21"/>
              </w:rPr>
              <w:t>Foreign Key (FK)</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 xml:space="preserve">Reference to the initiating </w:t>
            </w:r>
            <w:r>
              <w:rPr>
                <w:rFonts w:ascii="Consolas" w:hAnsi="Consolas"/>
                <w:color w:val="B91C1C"/>
                <w:sz w:val="19"/>
              </w:rPr>
              <w:t>Users._id</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ObjectId("652c1e8b7a9f1b001a1c4e01")</w:t>
            </w: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r>
      <w:tr>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Transaction type</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String</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Required, Enum</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Category (</w:t>
            </w:r>
            <w:r>
              <w:rPr>
                <w:rFonts w:ascii="Consolas" w:hAnsi="Consolas"/>
                <w:color w:val="B91C1C"/>
                <w:sz w:val="19"/>
              </w:rPr>
              <w:t>DEPOSIT</w:t>
            </w:r>
            <w:r>
              <w:rPr>
                <w:rFonts w:ascii="Calibri" w:hAnsi="Calibri"/>
                <w:sz w:val="21"/>
              </w:rPr>
              <w:t xml:space="preserve"> \</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WITHDRAWAL</w:t>
            </w:r>
            <w:r>
              <w:rPr>
                <w:rFonts w:ascii="Calibri" w:hAnsi="Calibri"/>
                <w:sz w:val="21"/>
              </w:rPr>
              <w:t xml:space="preserve"> \</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STOCK_BUY</w:t>
            </w:r>
            <w:r>
              <w:rPr>
                <w:rFonts w:ascii="Calibri" w:hAnsi="Calibri"/>
                <w:sz w:val="21"/>
              </w:rPr>
              <w:t xml:space="preserve"> \</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STOCK_SELL</w:t>
            </w:r>
            <w:r>
              <w:rPr>
                <w:rFonts w:ascii="Calibri" w:hAnsi="Calibri"/>
                <w:sz w:val="21"/>
              </w:rPr>
              <w:t>)</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"STOCK_BUY"</w:t>
            </w:r>
          </w:p>
        </w:tc>
      </w:tr>
      <w:tr>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Payment mode</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String</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Required, Enum</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Settlement method (</w:t>
            </w:r>
            <w:r>
              <w:rPr>
                <w:rFonts w:ascii="Consolas" w:hAnsi="Consolas"/>
                <w:color w:val="B91C1C"/>
                <w:sz w:val="19"/>
              </w:rPr>
              <w:t>WALLET</w:t>
            </w:r>
            <w:r>
              <w:rPr>
                <w:rFonts w:ascii="Calibri" w:hAnsi="Calibri"/>
                <w:sz w:val="21"/>
              </w:rPr>
              <w:t xml:space="preserve"> \</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BANK_TRANSFER</w:t>
            </w:r>
            <w:r>
              <w:rPr>
                <w:rFonts w:ascii="Calibri" w:hAnsi="Calibri"/>
                <w:sz w:val="21"/>
              </w:rPr>
              <w:t xml:space="preserve"> \</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UPI</w:t>
            </w:r>
            <w:r>
              <w:rPr>
                <w:rFonts w:ascii="Calibri" w:hAnsi="Calibri"/>
                <w:sz w:val="21"/>
              </w:rPr>
              <w:t xml:space="preserve"> \</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CARD</w:t>
            </w: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"WALLET"</w:t>
            </w:r>
          </w:p>
        </w:tc>
      </w:tr>
      <w:tr>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Amount</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Number</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Required, Positive</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Total monetary value involved in the transaction</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1825.00</w:t>
            </w: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r>
      <w:tr>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Time</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DateTime</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Required, Timestamp</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Exact timestamp when transaction occurred</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2026-10-15T12:05:02.000Z</w:t>
            </w: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r>
    </w:tbl>
    <w:p>
      <w:pPr>
        <w:spacing w:before="0" w:after="120"/>
      </w:pPr>
    </w:p>
    <w:p>
      <w:pPr>
        <w:spacing w:before="80" w:after="80"/>
      </w:pPr>
    </w:p>
    <w:p>
      <w:pPr>
        <w:pStyle w:val="Heading2"/>
        <w:keepNext/>
        <w:spacing w:before="200" w:after="80"/>
      </w:pPr>
      <w:r>
        <w:rPr>
          <w:rFonts w:ascii="Segoe UI Semibold" w:hAnsi="Segoe UI Semibold"/>
          <w:b/>
          <w:color w:val="0F766E"/>
          <w:sz w:val="26"/>
        </w:rPr>
        <w:t>4. `Stocks Orders` Entity</w:t>
      </w:r>
    </w:p>
    <w:p>
      <w:pPr>
        <w:spacing w:before="0" w:after="100" w:line="276" w:lineRule="auto"/>
      </w:pPr>
      <w:r>
        <w:rPr>
          <w:rFonts w:ascii="Calibri" w:hAnsi="Calibri"/>
          <w:sz w:val="21"/>
        </w:rPr>
        <w:t xml:space="preserve">The </w:t>
      </w:r>
      <w:r>
        <w:rPr>
          <w:rFonts w:ascii="Consolas" w:hAnsi="Consolas"/>
          <w:color w:val="B91C1C"/>
          <w:sz w:val="19"/>
        </w:rPr>
        <w:t>Stocks Orders</w:t>
      </w:r>
      <w:r>
        <w:rPr>
          <w:rFonts w:ascii="Calibri" w:hAnsi="Calibri"/>
          <w:sz w:val="21"/>
        </w:rPr>
        <w:t xml:space="preserve"> collection records order tickets submitted by traders, tracking fulfillment state, execution parameters, and status transitions through the trading lifecycle.</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242"/>
        <w:gridCol w:w="1242"/>
        <w:gridCol w:w="1242"/>
        <w:gridCol w:w="1242"/>
        <w:gridCol w:w="1242"/>
        <w:gridCol w:w="1242"/>
        <w:gridCol w:w="1242"/>
        <w:gridCol w:w="1242"/>
      </w:tblGrid>
      <w:tr>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Attribute</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Data Type</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Key / Constraint</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Description</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Example Value</w:t>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r>
          </w:p>
        </w:tc>
        <w:tc>
          <w:tcPr>
            <w:tcW w:type="dxa" w:w="124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r>
          </w:p>
        </w:tc>
      </w:tr>
      <w:tr>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r>
      <w:tr>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_id</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ObjectId</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b/>
                <w:sz w:val="21"/>
              </w:rPr>
              <w:t>Primary Key (PK)</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Unique order ticket identifier</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ObjectId("652c24ef7a9f1b001a1c4e04")</w:t>
            </w: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r>
      <w:tr>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UserId</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ObjectId</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b/>
                <w:sz w:val="21"/>
              </w:rPr>
              <w:t>Foreign Key (FK)</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 xml:space="preserve">Reference to the placing </w:t>
            </w:r>
            <w:r>
              <w:rPr>
                <w:rFonts w:ascii="Consolas" w:hAnsi="Consolas"/>
                <w:color w:val="B91C1C"/>
                <w:sz w:val="19"/>
              </w:rPr>
              <w:t>Users._id</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ObjectId("652c1e8b7a9f1b001a1c4e01")</w:t>
            </w: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r>
      <w:tr>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Stock Symbol</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String</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Required, Indexed</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Ticker symbol of the traded security</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"NVDA"</w:t>
            </w: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r>
      <w:tr>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Stock name</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String</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Required</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Full corporate name of the security</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"NVIDIA Corporation"</w:t>
            </w: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r>
      <w:tr>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Price</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Number</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Required, Positive</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Order execution or limit trigger price in USD</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460.00</w:t>
            </w: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r>
      <w:tr>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Count</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Number</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Required, Min: 1</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Number of shares requested</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5</w:t>
            </w: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c>
          <w:tcPr>
            <w:tcW w:type="dxa" w:w="1242"/>
            <w:vAlign w:val="center"/>
            <w:tcMar>
              <w:top w:w="100" w:type="dxa"/>
              <w:bottom w:w="100" w:type="dxa"/>
              <w:left w:w="140" w:type="dxa"/>
              <w:right w:w="140" w:type="dxa"/>
            </w:tcMar>
            <w:shd w:fill="F8FAFC"/>
          </w:tcPr>
          <w:p>
            <w:pPr>
              <w:spacing w:before="0" w:after="0" w:line="264" w:lineRule="auto"/>
            </w:pPr>
          </w:p>
        </w:tc>
      </w:tr>
      <w:tr>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Total price</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Number</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Required, Positive</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Gross order consideration (</w:t>
            </w:r>
            <w:r>
              <w:rPr>
                <w:rFonts w:ascii="Consolas" w:hAnsi="Consolas"/>
                <w:color w:val="B91C1C"/>
                <w:sz w:val="19"/>
              </w:rPr>
              <w:t>Price * Count</w:t>
            </w:r>
            <w:r>
              <w:rPr>
                <w:rFonts w:ascii="Calibri" w:hAnsi="Calibri"/>
                <w:sz w:val="21"/>
              </w:rPr>
              <w:t>)</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2300.00</w:t>
            </w: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r>
      <w:tr>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Stock Type</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String</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Required</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Asset classification (</w:t>
            </w:r>
            <w:r>
              <w:rPr>
                <w:rFonts w:ascii="Consolas" w:hAnsi="Consolas"/>
                <w:color w:val="B91C1C"/>
                <w:sz w:val="19"/>
              </w:rPr>
              <w:t>Equity</w:t>
            </w:r>
            <w:r>
              <w:rPr>
                <w:rFonts w:ascii="Calibri" w:hAnsi="Calibri"/>
                <w:sz w:val="21"/>
              </w:rPr>
              <w:t xml:space="preserve"> \</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ETF</w:t>
            </w:r>
            <w:r>
              <w:rPr>
                <w:rFonts w:ascii="Calibri" w:hAnsi="Calibri"/>
                <w:sz w:val="21"/>
              </w:rPr>
              <w:t xml:space="preserve"> \</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Index</w:t>
            </w: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"Equity"</w:t>
            </w:r>
          </w:p>
        </w:tc>
        <w:tc>
          <w:tcPr>
            <w:tcW w:type="dxa" w:w="1242"/>
            <w:vAlign w:val="center"/>
            <w:tcMar>
              <w:top w:w="100" w:type="dxa"/>
              <w:bottom w:w="100" w:type="dxa"/>
              <w:left w:w="140" w:type="dxa"/>
              <w:right w:w="140" w:type="dxa"/>
            </w:tcMar>
            <w:shd w:fill="F8FAFC"/>
          </w:tcPr>
          <w:p>
            <w:pPr>
              <w:spacing w:before="0" w:after="0" w:line="264" w:lineRule="auto"/>
            </w:pPr>
          </w:p>
        </w:tc>
      </w:tr>
      <w:tr>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Order Type</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String</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Required, Enum</w:t>
            </w:r>
          </w:p>
        </w:tc>
        <w:tc>
          <w:tcPr>
            <w:tcW w:type="dxa" w:w="1242"/>
            <w:vAlign w:val="center"/>
            <w:tcMar>
              <w:top w:w="100" w:type="dxa"/>
              <w:bottom w:w="100" w:type="dxa"/>
              <w:left w:w="140" w:type="dxa"/>
              <w:right w:w="140" w:type="dxa"/>
            </w:tcMar>
            <w:shd w:fill="FFFFFF"/>
          </w:tcPr>
          <w:p>
            <w:pPr>
              <w:spacing w:before="0" w:after="0" w:line="264" w:lineRule="auto"/>
            </w:pPr>
            <w:r>
              <w:rPr>
                <w:rFonts w:ascii="Calibri" w:hAnsi="Calibri"/>
                <w:sz w:val="21"/>
              </w:rPr>
              <w:t>Action direction (</w:t>
            </w:r>
            <w:r>
              <w:rPr>
                <w:rFonts w:ascii="Consolas" w:hAnsi="Consolas"/>
                <w:color w:val="B91C1C"/>
                <w:sz w:val="19"/>
              </w:rPr>
              <w:t>BUY</w:t>
            </w:r>
            <w:r>
              <w:rPr>
                <w:rFonts w:ascii="Calibri" w:hAnsi="Calibri"/>
                <w:sz w:val="21"/>
              </w:rPr>
              <w:t xml:space="preserve"> \</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SELL</w:t>
            </w:r>
            <w:r>
              <w:rPr>
                <w:rFonts w:ascii="Calibri" w:hAnsi="Calibri"/>
                <w:sz w:val="21"/>
              </w:rPr>
              <w:t>)</w:t>
            </w:r>
          </w:p>
        </w:tc>
        <w:tc>
          <w:tcPr>
            <w:tcW w:type="dxa" w:w="1242"/>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"BUY"</w:t>
            </w:r>
          </w:p>
        </w:tc>
        <w:tc>
          <w:tcPr>
            <w:tcW w:type="dxa" w:w="1242"/>
            <w:vAlign w:val="center"/>
            <w:tcMar>
              <w:top w:w="100" w:type="dxa"/>
              <w:bottom w:w="100" w:type="dxa"/>
              <w:left w:w="140" w:type="dxa"/>
              <w:right w:w="140" w:type="dxa"/>
            </w:tcMar>
            <w:shd w:fill="FFFFFF"/>
          </w:tcPr>
          <w:p>
            <w:pPr>
              <w:spacing w:before="0" w:after="0" w:line="264" w:lineRule="auto"/>
            </w:pPr>
          </w:p>
        </w:tc>
        <w:tc>
          <w:tcPr>
            <w:tcW w:type="dxa" w:w="1242"/>
            <w:vAlign w:val="center"/>
            <w:tcMar>
              <w:top w:w="100" w:type="dxa"/>
              <w:bottom w:w="100" w:type="dxa"/>
              <w:left w:w="140" w:type="dxa"/>
              <w:right w:w="140" w:type="dxa"/>
            </w:tcMar>
            <w:shd w:fill="FFFFFF"/>
          </w:tcPr>
          <w:p>
            <w:pPr>
              <w:spacing w:before="0" w:after="0" w:line="264" w:lineRule="auto"/>
            </w:pPr>
          </w:p>
        </w:tc>
      </w:tr>
      <w:tr>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Order Status</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String</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Required, Enum</w:t>
            </w:r>
          </w:p>
        </w:tc>
        <w:tc>
          <w:tcPr>
            <w:tcW w:type="dxa" w:w="1242"/>
            <w:vAlign w:val="center"/>
            <w:tcMar>
              <w:top w:w="100" w:type="dxa"/>
              <w:bottom w:w="100" w:type="dxa"/>
              <w:left w:w="140" w:type="dxa"/>
              <w:right w:w="140" w:type="dxa"/>
            </w:tcMar>
            <w:shd w:fill="F8FAFC"/>
          </w:tcPr>
          <w:p>
            <w:pPr>
              <w:spacing w:before="0" w:after="0" w:line="264" w:lineRule="auto"/>
            </w:pPr>
            <w:r>
              <w:rPr>
                <w:rFonts w:ascii="Calibri" w:hAnsi="Calibri"/>
                <w:sz w:val="21"/>
              </w:rPr>
              <w:t>Lifecycle status (</w:t>
            </w:r>
            <w:r>
              <w:rPr>
                <w:rFonts w:ascii="Consolas" w:hAnsi="Consolas"/>
                <w:color w:val="B91C1C"/>
                <w:sz w:val="19"/>
              </w:rPr>
              <w:t>PENDING</w:t>
            </w:r>
            <w:r>
              <w:rPr>
                <w:rFonts w:ascii="Calibri" w:hAnsi="Calibri"/>
                <w:sz w:val="21"/>
              </w:rPr>
              <w:t xml:space="preserve"> \</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EXECUTED</w:t>
            </w:r>
            <w:r>
              <w:rPr>
                <w:rFonts w:ascii="Calibri" w:hAnsi="Calibri"/>
                <w:sz w:val="21"/>
              </w:rPr>
              <w:t xml:space="preserve"> \</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CANCELLED</w:t>
            </w:r>
            <w:r>
              <w:rPr>
                <w:rFonts w:ascii="Calibri" w:hAnsi="Calibri"/>
                <w:sz w:val="21"/>
              </w:rPr>
              <w:t xml:space="preserve"> \</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REJECTED</w:t>
            </w:r>
            <w:r>
              <w:rPr>
                <w:rFonts w:ascii="Calibri" w:hAnsi="Calibri"/>
                <w:sz w:val="21"/>
              </w:rPr>
              <w:t>)</w:t>
            </w:r>
          </w:p>
        </w:tc>
        <w:tc>
          <w:tcPr>
            <w:tcW w:type="dxa" w:w="1242"/>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"EXECUTED"</w:t>
            </w:r>
          </w:p>
        </w:tc>
      </w:tr>
    </w:tbl>
    <w:p>
      <w:pPr>
        <w:spacing w:before="0" w:after="120"/>
      </w:pPr>
    </w:p>
    <w:p>
      <w:pPr>
        <w:spacing w:before="80" w:after="80"/>
      </w:pPr>
    </w:p>
    <w:p>
      <w:pPr>
        <w:pStyle w:val="Heading1"/>
        <w:keepNext/>
        <w:spacing w:before="280" w:after="80"/>
      </w:pPr>
      <w:r>
        <w:rPr>
          <w:rFonts w:ascii="Segoe UI Semibold" w:hAnsi="Segoe UI Semibold"/>
          <w:b/>
          <w:color w:val="1E3A8A"/>
          <w:sz w:val="32"/>
        </w:rPr>
        <w:t>🔗 Relational Architecture &amp; System Dynamics</w:t>
      </w:r>
    </w:p>
    <w:p>
      <w:pPr>
        <w:pStyle w:val="Heading2"/>
        <w:keepNext/>
        <w:spacing w:before="200" w:after="80"/>
      </w:pPr>
      <w:r>
        <w:rPr>
          <w:rFonts w:ascii="Segoe UI Semibold" w:hAnsi="Segoe UI Semibold"/>
          <w:b/>
          <w:color w:val="0F766E"/>
          <w:sz w:val="26"/>
        </w:rPr>
        <w:t>1. One-to-Many User Portfolio Ownership (`Users` 1 ──&lt; N `Stocks`)</w:t>
      </w:r>
    </w:p>
    <w:p>
      <w:pPr>
        <w:pStyle w:val="ListBullet"/>
        <w:spacing w:before="20" w:after="40"/>
      </w:pPr>
      <w:r>
        <w:rPr>
          <w:rFonts w:ascii="Calibri" w:hAnsi="Calibri"/>
          <w:sz w:val="21"/>
        </w:rPr>
        <w:t>A single user account can accumulate a diversified portfolio containing many individual stock positions across multiple sectors and exchanges.</w:t>
      </w:r>
    </w:p>
    <w:p>
      <w:pPr>
        <w:pStyle w:val="ListBullet"/>
        <w:spacing w:before="20" w:after="40"/>
      </w:pPr>
      <w:r>
        <w:rPr>
          <w:rFonts w:ascii="Calibri" w:hAnsi="Calibri"/>
          <w:sz w:val="21"/>
        </w:rPr>
        <w:t xml:space="preserve">Simultaneously, any given stock symbol (e.g., </w:t>
      </w:r>
      <w:r>
        <w:rPr>
          <w:rFonts w:ascii="Consolas" w:hAnsi="Consolas"/>
          <w:color w:val="B91C1C"/>
          <w:sz w:val="19"/>
        </w:rPr>
        <w:t>AAPL</w:t>
      </w:r>
      <w:r>
        <w:rPr>
          <w:rFonts w:ascii="Calibri" w:hAnsi="Calibri"/>
          <w:sz w:val="21"/>
        </w:rPr>
        <w:t xml:space="preserve"> or </w:t>
      </w:r>
      <w:r>
        <w:rPr>
          <w:rFonts w:ascii="Consolas" w:hAnsi="Consolas"/>
          <w:color w:val="B91C1C"/>
          <w:sz w:val="19"/>
        </w:rPr>
        <w:t>MSFT</w:t>
      </w:r>
      <w:r>
        <w:rPr>
          <w:rFonts w:ascii="Calibri" w:hAnsi="Calibri"/>
          <w:sz w:val="21"/>
        </w:rPr>
        <w:t>) can exist across multiple users' portfolios, modeling real-world equity market ownership.</w:t>
      </w:r>
    </w:p>
    <w:p>
      <w:pPr>
        <w:pStyle w:val="Heading2"/>
        <w:keepNext/>
        <w:spacing w:before="200" w:after="80"/>
      </w:pPr>
      <w:r>
        <w:rPr>
          <w:rFonts w:ascii="Segoe UI Semibold" w:hAnsi="Segoe UI Semibold"/>
          <w:b/>
          <w:color w:val="0F766E"/>
          <w:sz w:val="26"/>
        </w:rPr>
        <w:t>2. Audit Trail &amp; Financial Accountability (`Users` 1 ──&lt; N `Transactions`)</w:t>
      </w:r>
    </w:p>
    <w:p>
      <w:pPr>
        <w:pStyle w:val="ListBullet"/>
        <w:spacing w:before="20" w:after="40"/>
      </w:pPr>
      <w:r>
        <w:rPr>
          <w:rFonts w:ascii="Calibri" w:hAnsi="Calibri"/>
          <w:sz w:val="21"/>
        </w:rPr>
        <w:t>Every capital injection, cash withdrawal, or security liquidation is permanently recorded as an immutable transaction.</w:t>
      </w:r>
    </w:p>
    <w:p>
      <w:pPr>
        <w:pStyle w:val="ListBullet"/>
        <w:spacing w:before="20" w:after="40"/>
      </w:pPr>
      <w:r>
        <w:rPr>
          <w:rFonts w:ascii="Calibri" w:hAnsi="Calibri"/>
          <w:sz w:val="21"/>
        </w:rPr>
        <w:t>Each transaction links back to the originating user, providing full financial transparency, compliance oversight, and historical P&amp;L analytics.</w:t>
      </w:r>
    </w:p>
    <w:p>
      <w:pPr>
        <w:pStyle w:val="Heading2"/>
        <w:keepNext/>
        <w:spacing w:before="200" w:after="80"/>
      </w:pPr>
      <w:r>
        <w:rPr>
          <w:rFonts w:ascii="Segoe UI Semibold" w:hAnsi="Segoe UI Semibold"/>
          <w:b/>
          <w:color w:val="0F766E"/>
          <w:sz w:val="26"/>
        </w:rPr>
        <w:t>3. Order Lifecycle &amp; Execution Pipeline (`Users` 1 ──&lt; N `Stocks Orders`)</w:t>
      </w:r>
    </w:p>
    <w:p>
      <w:pPr>
        <w:pStyle w:val="ListBullet"/>
        <w:spacing w:before="20" w:after="40"/>
      </w:pPr>
      <w:r>
        <w:rPr>
          <w:rFonts w:ascii="Calibri" w:hAnsi="Calibri"/>
          <w:sz w:val="21"/>
        </w:rPr>
        <w:t>Traders initiate order tickets (</w:t>
      </w:r>
      <w:r>
        <w:rPr>
          <w:rFonts w:ascii="Consolas" w:hAnsi="Consolas"/>
          <w:color w:val="B91C1C"/>
          <w:sz w:val="19"/>
        </w:rPr>
        <w:t>BUY</w:t>
      </w:r>
      <w:r>
        <w:rPr>
          <w:rFonts w:ascii="Calibri" w:hAnsi="Calibri"/>
          <w:sz w:val="21"/>
        </w:rPr>
        <w:t xml:space="preserve"> or </w:t>
      </w:r>
      <w:r>
        <w:rPr>
          <w:rFonts w:ascii="Consolas" w:hAnsi="Consolas"/>
          <w:color w:val="B91C1C"/>
          <w:sz w:val="19"/>
        </w:rPr>
        <w:t>SELL</w:t>
      </w:r>
      <w:r>
        <w:rPr>
          <w:rFonts w:ascii="Calibri" w:hAnsi="Calibri"/>
          <w:sz w:val="21"/>
        </w:rPr>
        <w:t>) specifying target quantities and prices.</w:t>
      </w:r>
    </w:p>
    <w:p>
      <w:pPr>
        <w:pStyle w:val="ListBullet"/>
        <w:spacing w:before="20" w:after="40"/>
      </w:pPr>
      <w:r>
        <w:rPr>
          <w:rFonts w:ascii="Calibri" w:hAnsi="Calibri"/>
          <w:sz w:val="21"/>
        </w:rPr>
        <w:t xml:space="preserve">When an order reaches </w:t>
      </w:r>
      <w:r>
        <w:rPr>
          <w:rFonts w:ascii="Consolas" w:hAnsi="Consolas"/>
          <w:color w:val="B91C1C"/>
          <w:sz w:val="19"/>
        </w:rPr>
        <w:t>EXECUTED</w:t>
      </w:r>
      <w:r>
        <w:rPr>
          <w:rFonts w:ascii="Calibri" w:hAnsi="Calibri"/>
          <w:sz w:val="21"/>
        </w:rPr>
        <w:t xml:space="preserve"> status:</w:t>
      </w:r>
    </w:p>
    <w:p>
      <w:pPr>
        <w:pStyle w:val="ListNumber"/>
        <w:spacing w:before="20" w:after="40"/>
        <w:ind w:left="576"/>
      </w:pPr>
      <w:r>
        <w:rPr>
          <w:rFonts w:ascii="Calibri" w:hAnsi="Calibri"/>
          <w:sz w:val="21"/>
        </w:rPr>
        <w:t>The user's liquid cash wallet is adjusted.</w:t>
      </w:r>
    </w:p>
    <w:p>
      <w:pPr>
        <w:pStyle w:val="ListNumber"/>
        <w:spacing w:before="20" w:after="40"/>
        <w:ind w:left="576"/>
      </w:pPr>
      <w:r>
        <w:rPr>
          <w:rFonts w:ascii="Calibri" w:hAnsi="Calibri"/>
          <w:sz w:val="21"/>
        </w:rPr>
        <w:t xml:space="preserve">The holding in the </w:t>
      </w:r>
      <w:r>
        <w:rPr>
          <w:rFonts w:ascii="Consolas" w:hAnsi="Consolas"/>
          <w:color w:val="B91C1C"/>
          <w:sz w:val="19"/>
        </w:rPr>
        <w:t>Stocks</w:t>
      </w:r>
      <w:r>
        <w:rPr>
          <w:rFonts w:ascii="Calibri" w:hAnsi="Calibri"/>
          <w:sz w:val="21"/>
        </w:rPr>
        <w:t xml:space="preserve"> collection is created or updated.</w:t>
      </w:r>
    </w:p>
    <w:p>
      <w:pPr>
        <w:pStyle w:val="ListNumber"/>
        <w:spacing w:before="20" w:after="40"/>
        <w:ind w:left="576"/>
      </w:pPr>
      <w:r>
        <w:rPr>
          <w:rFonts w:ascii="Calibri" w:hAnsi="Calibri"/>
          <w:sz w:val="21"/>
        </w:rPr>
        <w:t xml:space="preserve">A corresponding </w:t>
      </w:r>
      <w:r>
        <w:rPr>
          <w:rFonts w:ascii="Consolas" w:hAnsi="Consolas"/>
          <w:color w:val="B91C1C"/>
          <w:sz w:val="19"/>
        </w:rPr>
        <w:t>Transaction</w:t>
      </w:r>
      <w:r>
        <w:rPr>
          <w:rFonts w:ascii="Calibri" w:hAnsi="Calibri"/>
          <w:sz w:val="21"/>
        </w:rPr>
        <w:t xml:space="preserve"> settlement receipt is written to the ledger.</w:t>
      </w:r>
    </w:p>
    <w:p>
      <w:pPr>
        <w:pStyle w:val="Heading2"/>
        <w:keepNext/>
        <w:spacing w:before="200" w:after="80"/>
      </w:pPr>
      <w:r>
        <w:rPr>
          <w:rFonts w:ascii="Segoe UI Semibold" w:hAnsi="Segoe UI Semibold"/>
          <w:b/>
          <w:color w:val="0F766E"/>
          <w:sz w:val="26"/>
        </w:rPr>
        <w:t>4. Real-Time Market Data Integration</w:t>
      </w:r>
    </w:p>
    <w:p>
      <w:pPr>
        <w:pStyle w:val="ListBullet"/>
        <w:spacing w:before="20" w:after="40"/>
      </w:pPr>
      <w:r>
        <w:rPr>
          <w:rFonts w:ascii="Calibri" w:hAnsi="Calibri"/>
          <w:sz w:val="21"/>
        </w:rPr>
        <w:t xml:space="preserve">The </w:t>
      </w:r>
      <w:r>
        <w:rPr>
          <w:rFonts w:ascii="Calibri" w:hAnsi="Calibri"/>
          <w:b/>
          <w:sz w:val="21"/>
        </w:rPr>
        <w:t>Market Data</w:t>
      </w:r>
      <w:r>
        <w:rPr>
          <w:rFonts w:ascii="Calibri" w:hAnsi="Calibri"/>
          <w:sz w:val="21"/>
        </w:rPr>
        <w:t xml:space="preserve"> layer feeds live prices and historical OHLCV data into the trading engine.</w:t>
      </w:r>
    </w:p>
    <w:p>
      <w:pPr>
        <w:pStyle w:val="ListBullet"/>
        <w:spacing w:before="20" w:after="40"/>
      </w:pPr>
      <w:r>
        <w:rPr>
          <w:rFonts w:ascii="Calibri" w:hAnsi="Calibri"/>
          <w:sz w:val="21"/>
        </w:rPr>
        <w:t>Active orders evaluate their triggers against streaming quotes to simulate realistic slippage, liquidity depth, and execution timing without capital risk.</w:t>
      </w:r>
    </w:p>
    <w:p>
      <w:pPr>
        <w:spacing w:before="80" w:after="80"/>
      </w:pPr>
    </w:p>
    <w:p>
      <w:pPr>
        <w:pStyle w:val="Heading1"/>
        <w:keepNext/>
        <w:spacing w:before="280" w:after="80"/>
      </w:pPr>
      <w:r>
        <w:rPr>
          <w:rFonts w:ascii="Segoe UI Semibold" w:hAnsi="Segoe UI Semibold"/>
          <w:b/>
          <w:color w:val="1E3A8A"/>
          <w:sz w:val="32"/>
        </w:rPr>
        <w:t>🔗 Related Documentation</w:t>
      </w:r>
    </w:p>
    <w:p>
      <w:pPr>
        <w:pStyle w:val="ListBullet"/>
        <w:spacing w:before="20" w:after="40"/>
      </w:pPr>
      <w:r>
        <w:rPr>
          <w:rFonts w:ascii="Calibri" w:hAnsi="Calibri"/>
          <w:b/>
          <w:sz w:val="21"/>
        </w:rPr>
        <w:t>[System Architecture Specification](ARCHITECTURE.md)</w:t>
      </w:r>
      <w:r>
        <w:rPr>
          <w:rFonts w:ascii="Calibri" w:hAnsi="Calibri"/>
          <w:sz w:val="21"/>
        </w:rPr>
        <w:t>: Deep dive into the 3-tier architecture, Express APIs, and request lifecycles.</w:t>
      </w:r>
    </w:p>
    <w:p>
      <w:pPr>
        <w:pStyle w:val="ListBullet"/>
        <w:spacing w:before="20" w:after="40"/>
      </w:pPr>
      <w:r>
        <w:rPr>
          <w:rFonts w:ascii="Calibri" w:hAnsi="Calibri"/>
          <w:b/>
          <w:sz w:val="21"/>
        </w:rPr>
        <w:t>[SB Stocks MVC Pattern](MVC_PATTERN.md)</w:t>
      </w:r>
      <w:r>
        <w:rPr>
          <w:rFonts w:ascii="Calibri" w:hAnsi="Calibri"/>
          <w:sz w:val="21"/>
        </w:rPr>
        <w:t>: Model-View-Controller design architecture, routing/controller mappings, and schema operations.</w:t>
      </w:r>
    </w:p>
    <w:p>
      <w:pPr>
        <w:pStyle w:val="ListBullet"/>
        <w:spacing w:before="20" w:after="40"/>
      </w:pPr>
      <w:r>
        <w:rPr>
          <w:rFonts w:ascii="Calibri" w:hAnsi="Calibri"/>
          <w:b/>
          <w:sz w:val="21"/>
        </w:rPr>
        <w:t>[Platform Features Specification](FEATURES.md)</w:t>
      </w:r>
      <w:r>
        <w:rPr>
          <w:rFonts w:ascii="Calibri" w:hAnsi="Calibri"/>
          <w:sz w:val="21"/>
        </w:rPr>
        <w:t>: Exhaustive catalog of functional capabilities, trader personas, and UX workflows.</w:t>
      </w:r>
    </w:p>
    <w:p>
      <w:pPr>
        <w:pStyle w:val="ListBullet"/>
        <w:spacing w:before="20" w:after="40"/>
      </w:pPr>
      <w:r>
        <w:rPr>
          <w:rFonts w:ascii="Calibri" w:hAnsi="Calibri"/>
          <w:b/>
          <w:sz w:val="21"/>
        </w:rPr>
        <w:t>[SB Stocks User Flow Specification](USER_FLOW.md)</w:t>
      </w:r>
      <w:r>
        <w:rPr>
          <w:rFonts w:ascii="Calibri" w:hAnsi="Calibri"/>
          <w:sz w:val="21"/>
        </w:rPr>
        <w:t>: Complete 9-stage user workflow, interactive flowchart, and state transition matrix.</w:t>
      </w:r>
    </w:p>
    <w:p>
      <w:pPr>
        <w:pStyle w:val="ListBullet"/>
        <w:spacing w:before="20" w:after="40"/>
      </w:pPr>
      <w:r>
        <w:rPr>
          <w:rFonts w:ascii="Calibri" w:hAnsi="Calibri"/>
          <w:b/>
          <w:sz w:val="21"/>
        </w:rPr>
        <w:t>[README.md](../README.md)</w:t>
      </w:r>
      <w:r>
        <w:rPr>
          <w:rFonts w:ascii="Calibri" w:hAnsi="Calibri"/>
          <w:sz w:val="21"/>
        </w:rPr>
        <w:t>: Main repository documentation, setup guides, and project overview.</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Confidential  •  Institutional Equity Simulation Desk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TradeX Technical Specification  |  TradeX Entity Relationship Diagrams &amp; Schemas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