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Segoe UI Semibold" w:hAnsi="Segoe UI Semibold"/>
          <w:b/>
          <w:color w:val="1E3A8A"/>
          <w:sz w:val="44"/>
        </w:rPr>
        <w:t>TradeX — SB Stocks User Flow Specification</w:t>
      </w:r>
    </w:p>
    <w:p>
      <w:pPr>
        <w:spacing w:before="0" w:after="320"/>
      </w:pPr>
      <w:r>
        <w:rPr>
          <w:rFonts w:ascii="Calibri" w:hAnsi="Calibri"/>
          <w:b/>
          <w:color w:val="0F766E"/>
          <w:sz w:val="22"/>
        </w:rPr>
        <w:t>TradeX Institutional Simulation Platform  •  Technical Specification Series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3A8A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0"/>
            </w:pPr>
          </w:p>
        </w:tc>
      </w:tr>
    </w:tbl>
    <w:p>
      <w:pPr>
        <w:spacing w:after="160"/>
      </w:pPr>
    </w:p>
    <w:p>
      <w:pPr>
        <w:spacing w:before="0" w:after="100" w:line="276" w:lineRule="auto"/>
      </w:pPr>
      <w:r>
        <w:rPr>
          <w:rFonts w:ascii="Calibri" w:hAnsi="Calibri"/>
          <w:sz w:val="21"/>
        </w:rPr>
        <w:t xml:space="preserve">The </w:t>
      </w:r>
      <w:r>
        <w:rPr>
          <w:rFonts w:ascii="Calibri" w:hAnsi="Calibri"/>
          <w:b/>
          <w:sz w:val="21"/>
        </w:rPr>
        <w:t>SB Stocks User Flow</w:t>
      </w:r>
      <w:r>
        <w:rPr>
          <w:rFonts w:ascii="Calibri" w:hAnsi="Calibri"/>
          <w:sz w:val="21"/>
        </w:rPr>
        <w:t xml:space="preserve"> maps out the comprehensive end-to-end journey of a user across the TradeX trading simulation platform. It illustrates how traders transition from first visiting the application and authenticating, through navigating the central dashboard, exploring US equities, executing simulated buy/sell orders, managing portfolios, auditing transactions, testing financial strategies, and securely ending their session.</w:t>
      </w:r>
    </w:p>
    <w:p>
      <w:pPr>
        <w:spacing w:before="80" w:after="80"/>
      </w:pPr>
    </w:p>
    <w:p>
      <w:pPr>
        <w:pStyle w:val="Heading1"/>
        <w:keepNext/>
        <w:spacing w:before="280" w:after="80"/>
      </w:pPr>
      <w:r>
        <w:rPr>
          <w:rFonts w:ascii="Segoe UI Semibold" w:hAnsi="Segoe UI Semibold"/>
          <w:b/>
          <w:color w:val="1E3A8A"/>
          <w:sz w:val="32"/>
        </w:rPr>
        <w:t>📐 Visual User Flowchart</w:t>
      </w:r>
    </w:p>
    <w:p>
      <w:pPr>
        <w:spacing w:before="0" w:after="100" w:line="276" w:lineRule="auto"/>
      </w:pPr>
      <w:r>
        <w:rPr>
          <w:rFonts w:ascii="Calibri" w:hAnsi="Calibri"/>
          <w:sz w:val="21"/>
        </w:rPr>
        <w:t>The diagram below illustrates the structural path and branching logic implemented across the application: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82376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flow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37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i/>
          <w:color w:val="64748B"/>
          <w:sz w:val="18"/>
        </w:rPr>
        <w:t>Figure: SB Stocks User Flow Diagram</w:t>
      </w:r>
    </w:p>
    <w:p>
      <w:pPr>
        <w:spacing w:before="80" w:after="80"/>
      </w:pPr>
    </w:p>
    <w:p>
      <w:pPr>
        <w:pStyle w:val="Heading1"/>
        <w:keepNext/>
        <w:spacing w:before="280" w:after="80"/>
      </w:pPr>
      <w:r>
        <w:rPr>
          <w:rFonts w:ascii="Segoe UI Semibold" w:hAnsi="Segoe UI Semibold"/>
          <w:b/>
          <w:color w:val="1E3A8A"/>
          <w:sz w:val="32"/>
        </w:rPr>
        <w:t>🔄 Interactive User Flow Diagram</w:t>
      </w:r>
    </w:p>
    <w:p>
      <w:pPr>
        <w:spacing w:before="0" w:after="100" w:line="276" w:lineRule="auto"/>
      </w:pPr>
      <w:r>
        <w:rPr>
          <w:rFonts w:ascii="Calibri" w:hAnsi="Calibri"/>
          <w:sz w:val="21"/>
        </w:rPr>
        <w:t>The flowchart below represents the interactive lifecycle and multi-path routing across the SB Stocks web platform: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EA5E9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i/>
                <w:color w:val="64748B"/>
                <w:sz w:val="17"/>
              </w:rPr>
              <w:t>// Language: mermaid</w:t>
              <w:br/>
            </w:r>
            <w:r>
              <w:rPr>
                <w:rFonts w:ascii="Consolas" w:hAnsi="Consolas"/>
                <w:color w:val="1E293B"/>
                <w:sz w:val="18"/>
              </w:rPr>
              <w:t>graph TD</w:t>
              <w:br/>
              <w:t xml:space="preserve">    START(["Start"]):::boundary --&gt; LANDING["1. Landing Page&lt;br/&gt;(Entry Point)"]:::entry</w:t>
              <w:br/>
              <w:br/>
              <w:t xml:space="preserve">    LANDING --&gt;|New User| REGISTER["2A. Register&lt;br/&gt;Enter Name, Email, Password, Contact"]:::auth</w:t>
              <w:br/>
              <w:t xml:space="preserve">    LANDING --&gt;|Existing User| LOGIN["2B. Login&lt;br/&gt;Enter Credentials"]:::auth</w:t>
              <w:br/>
              <w:br/>
              <w:t xml:space="preserve">    REGISTER --&gt;|Account Created| LOGIN</w:t>
              <w:br/>
              <w:t xml:space="preserve">    LOGIN --&gt;|Authenticated &amp; JWT Issued| DASHBOARD["3. Dashboard (Main Hub)&lt;br/&gt;Virtual Funds • Portfolios • Recent Activity"]:::hub</w:t>
              <w:br/>
              <w:br/>
              <w:t xml:space="preserve">    DASHBOARD --&gt;|Explore Market| BROWSE["4. Browse &amp; Explore Stocks&lt;br/&gt;Search US Stocks • Live Quotes • Trends"]:::market</w:t>
              <w:br/>
              <w:t xml:space="preserve">    DASHBOARD --&gt;|Manage Investments| PORTFOLIO["6. Portfolio Management&lt;br/&gt;Create Portfolios • Track Holdings • P&amp;L Charts"]:::portfolio</w:t>
              <w:br/>
              <w:t xml:space="preserve">    DASHBOARD --&gt;|Audit Activity| HISTORY["7. Transactions History&lt;br/&gt;Review Log of Buy/Sell Orders with Timestamps"]:::history</w:t>
              <w:br/>
              <w:t xml:space="preserve">    DASHBOARD --&gt;|Quick Trade| STOCKS_DETAIL["Stock Details &amp; Charts&lt;br/&gt;Real-Time Price • Historical OHLCV • Overview"]:::market</w:t>
              <w:br/>
              <w:br/>
              <w:t xml:space="preserve">    BROWSE --&gt; STOCKS_DETAIL</w:t>
              <w:br/>
              <w:t xml:space="preserve">    PORTFOLIO --&gt; STOCKS_DETAIL</w:t>
              <w:br/>
              <w:br/>
              <w:t xml:space="preserve">    STOCKS_DETAIL --&gt;|Initiate Buy/Sell| PAPER_TRADING["5. Paper Trading (Buy / Sell)&lt;br/&gt;Select Buy or Sell • Enter Qty • Confirm Order"]:::trading</w:t>
              <w:br/>
              <w:t xml:space="preserve">    STOCKS_DETAIL --&gt;|Analyze Trends| STRATEGY["8. Learning &amp; Strategy Testing&lt;br/&gt;Analyze Historical Data • Compare Portfolio Strategies"]:::testing</w:t>
              <w:br/>
              <w:br/>
              <w:t xml:space="preserve">    PAPER_TRADING --&gt;|Trade Executed &amp; Logged| PORTFOLIO</w:t>
              <w:br/>
              <w:t xml:space="preserve">    PAPER_TRADING --&gt;|Order Settled| HISTORY</w:t>
              <w:br/>
              <w:br/>
              <w:t xml:space="preserve">    STRATEGY --&gt;|Refine Orders| PAPER_TRADING</w:t>
              <w:br/>
              <w:t xml:space="preserve">    STRATEGY --&gt;|Track Returns| PORTFOLIO</w:t>
              <w:br/>
              <w:br/>
              <w:t xml:space="preserve">    DASHBOARD --&gt;|End Session| LOGOUT["9. Logout&lt;br/&gt;Clear Session &amp; Revoke Tokens"]:::logout</w:t>
              <w:br/>
              <w:t xml:space="preserve">    PORTFOLIO --&gt;|End Session| LOGOUT</w:t>
              <w:br/>
              <w:t xml:space="preserve">    BROWSE --&gt;|End Session| LOGOUT</w:t>
              <w:br/>
              <w:t xml:space="preserve">    HISTORY --&gt;|End Session| LOGOUT</w:t>
              <w:br/>
              <w:t xml:space="preserve">    STRATEGY --&gt;|End Session| LOGOUT</w:t>
              <w:br/>
              <w:br/>
              <w:t xml:space="preserve">    LOGOUT --&gt; END(["End"]):::boundary</w:t>
              <w:br/>
              <w:br/>
              <w:t xml:space="preserve">    classDef boundary fill:#f3e5f5,stroke:#8e24aa,stroke-width:2px,color:#4a148c;</w:t>
              <w:br/>
              <w:t xml:space="preserve">    classDef entry fill:#e3f2fd,stroke:#2196f3,stroke-width:2px,color:#0d47a1;</w:t>
              <w:br/>
              <w:t xml:space="preserve">    classDef auth fill:#fff3e0,stroke:#ff9800,stroke-width:2px,color:#e65100;</w:t>
              <w:br/>
              <w:t xml:space="preserve">    classDef hub fill:#e8f5e9,stroke:#4caf50,stroke-width:2px,color:#1b5e20;</w:t>
              <w:br/>
              <w:t xml:space="preserve">    classDef market fill:#ede7f6,stroke:#673ab7,stroke-width:2px,color:#311b92;</w:t>
              <w:br/>
              <w:t xml:space="preserve">    classDef trading fill:#fbe9e7,stroke:#ff5722,stroke-width:2px,color:#bf360c;</w:t>
              <w:br/>
              <w:t xml:space="preserve">    classDef portfolio fill:#e0f2f1,stroke:#009688,stroke-width:2px,color:#004d40;</w:t>
              <w:br/>
              <w:t xml:space="preserve">    classDef history fill:#f9fbe7,stroke:#c0ca33,stroke-width:2px,color:#827717;</w:t>
              <w:br/>
              <w:t xml:space="preserve">    classDef testing fill:#fff8e1,stroke:#ffb300,stroke-width:2px,color:#ff6f00;</w:t>
              <w:br/>
              <w:t xml:space="preserve">    classDef logout fill:#ffebee,stroke:#e91e63,stroke-width:2px,color:#880e4f;</w:t>
            </w:r>
          </w:p>
        </w:tc>
      </w:tr>
    </w:tbl>
    <w:p>
      <w:pPr>
        <w:spacing w:before="0" w:after="80"/>
      </w:pPr>
    </w:p>
    <w:p>
      <w:pPr>
        <w:spacing w:before="80" w:after="80"/>
      </w:pPr>
    </w:p>
    <w:p>
      <w:pPr>
        <w:pStyle w:val="Heading1"/>
        <w:keepNext/>
        <w:spacing w:before="280" w:after="80"/>
      </w:pPr>
      <w:r>
        <w:rPr>
          <w:rFonts w:ascii="Segoe UI Semibold" w:hAnsi="Segoe UI Semibold"/>
          <w:b/>
          <w:color w:val="1E3A8A"/>
          <w:sz w:val="32"/>
        </w:rPr>
        <w:t>🚀 The 9-Stage User Journey Breakdown</w:t>
      </w:r>
    </w:p>
    <w:p>
      <w:pPr>
        <w:pStyle w:val="Heading2"/>
        <w:keepNext/>
        <w:spacing w:before="200" w:after="80"/>
      </w:pPr>
      <w:r>
        <w:rPr>
          <w:rFonts w:ascii="Segoe UI Semibold" w:hAnsi="Segoe UI Semibold"/>
          <w:b/>
          <w:color w:val="0F766E"/>
          <w:sz w:val="26"/>
        </w:rPr>
        <w:t>1. 🌐 Entry Point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Context</w:t>
      </w:r>
      <w:r>
        <w:rPr>
          <w:rFonts w:ascii="Calibri" w:hAnsi="Calibri"/>
          <w:sz w:val="21"/>
        </w:rPr>
        <w:t>: The user first discovers and navigates to the SB Stocks web application.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UI Route</w:t>
      </w:r>
      <w:r>
        <w:rPr>
          <w:rFonts w:ascii="Calibri" w:hAnsi="Calibri"/>
          <w:sz w:val="21"/>
        </w:rPr>
        <w:t xml:space="preserve">: </w:t>
      </w:r>
      <w:r>
        <w:rPr>
          <w:rFonts w:ascii="Consolas" w:hAnsi="Consolas"/>
          <w:color w:val="B91C1C"/>
          <w:sz w:val="19"/>
        </w:rPr>
        <w:t>/</w:t>
      </w:r>
      <w:r>
        <w:rPr>
          <w:rFonts w:ascii="Calibri" w:hAnsi="Calibri"/>
          <w:sz w:val="21"/>
        </w:rPr>
        <w:t xml:space="preserve"> (</w:t>
      </w:r>
      <w:r>
        <w:rPr>
          <w:rFonts w:ascii="Consolas" w:hAnsi="Consolas"/>
          <w:color w:val="B91C1C"/>
          <w:sz w:val="19"/>
        </w:rPr>
        <w:t>LandingPage.jsx</w:t>
      </w:r>
      <w:r>
        <w:rPr>
          <w:rFonts w:ascii="Calibri" w:hAnsi="Calibri"/>
          <w:sz w:val="21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Key Interactions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sz w:val="21"/>
        </w:rPr>
        <w:t>Displays platform value proposition, live market indices, top gainers/losers ticker, and trading features.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sz w:val="21"/>
        </w:rPr>
        <w:t xml:space="preserve">Presents clear calls-to-action: </w:t>
      </w:r>
      <w:r>
        <w:rPr>
          <w:rFonts w:ascii="Calibri" w:hAnsi="Calibri"/>
          <w:b/>
          <w:sz w:val="21"/>
        </w:rPr>
        <w:t>"Get Started / Register"</w:t>
      </w:r>
      <w:r>
        <w:rPr>
          <w:rFonts w:ascii="Calibri" w:hAnsi="Calibri"/>
          <w:sz w:val="21"/>
        </w:rPr>
        <w:t xml:space="preserve"> for newcomers and </w:t>
      </w:r>
      <w:r>
        <w:rPr>
          <w:rFonts w:ascii="Calibri" w:hAnsi="Calibri"/>
          <w:b/>
          <w:sz w:val="21"/>
        </w:rPr>
        <w:t>"Sign In / Login"</w:t>
      </w:r>
      <w:r>
        <w:rPr>
          <w:rFonts w:ascii="Calibri" w:hAnsi="Calibri"/>
          <w:sz w:val="21"/>
        </w:rPr>
        <w:t xml:space="preserve"> for returning traders.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System Responsibilities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sz w:val="21"/>
        </w:rPr>
        <w:t>Serves static responsive assets with high performance.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sz w:val="21"/>
        </w:rPr>
        <w:t>Queries public market ticker preview without requiring user authentication.</w:t>
      </w:r>
    </w:p>
    <w:p>
      <w:pPr>
        <w:spacing w:before="80" w:after="80"/>
      </w:pPr>
    </w:p>
    <w:p>
      <w:pPr>
        <w:pStyle w:val="Heading2"/>
        <w:keepNext/>
        <w:spacing w:before="200" w:after="80"/>
      </w:pPr>
      <w:r>
        <w:rPr>
          <w:rFonts w:ascii="Segoe UI Semibold" w:hAnsi="Segoe UI Semibold"/>
          <w:b/>
          <w:color w:val="0F766E"/>
          <w:sz w:val="26"/>
        </w:rPr>
        <w:t>2. 🔐 Authentication</w:t>
      </w:r>
    </w:p>
    <w:p>
      <w:pPr>
        <w:spacing w:before="0" w:after="100" w:line="276" w:lineRule="auto"/>
      </w:pPr>
      <w:r>
        <w:rPr>
          <w:rFonts w:ascii="Calibri" w:hAnsi="Calibri"/>
          <w:sz w:val="21"/>
        </w:rPr>
        <w:t>The platform provides distinct onboarding and sign-in channels to verify trader identity and protect user assets.</w:t>
      </w:r>
    </w:p>
    <w:p>
      <w:pPr>
        <w:pStyle w:val="Heading3"/>
        <w:keepNext/>
        <w:spacing w:before="200" w:after="80"/>
      </w:pPr>
      <w:r>
        <w:rPr>
          <w:rFonts w:ascii="Segoe UI Semibold" w:hAnsi="Segoe UI Semibold"/>
          <w:b/>
          <w:color w:val="334155"/>
          <w:sz w:val="22"/>
        </w:rPr>
        <w:t>2A. New User Registration Flow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1"/>
        </w:rPr>
        <w:t>User Action</w:t>
      </w:r>
      <w:r>
        <w:rPr>
          <w:rFonts w:ascii="Calibri" w:hAnsi="Calibri"/>
          <w:sz w:val="21"/>
        </w:rPr>
        <w:t xml:space="preserve">: Clicks </w:t>
      </w:r>
      <w:r>
        <w:rPr>
          <w:rFonts w:ascii="Calibri" w:hAnsi="Calibri"/>
          <w:b/>
          <w:sz w:val="21"/>
        </w:rPr>
        <w:t>Register</w:t>
      </w:r>
      <w:r>
        <w:rPr>
          <w:rFonts w:ascii="Calibri" w:hAnsi="Calibri"/>
          <w:sz w:val="21"/>
        </w:rPr>
        <w:t xml:space="preserve"> on the landing page or navbar.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1"/>
        </w:rPr>
        <w:t>Input Fields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40"/>
        <w:ind w:left="576"/>
      </w:pPr>
      <w:r>
        <w:rPr>
          <w:rFonts w:ascii="Consolas" w:hAnsi="Consolas"/>
          <w:color w:val="B91C1C"/>
          <w:sz w:val="19"/>
        </w:rPr>
        <w:t>name</w:t>
      </w:r>
      <w:r>
        <w:rPr>
          <w:rFonts w:ascii="Calibri" w:hAnsi="Calibri"/>
          <w:sz w:val="21"/>
        </w:rPr>
        <w:t>: Full trader name.</w:t>
      </w:r>
    </w:p>
    <w:p>
      <w:pPr>
        <w:pStyle w:val="ListBullet"/>
        <w:spacing w:before="20" w:after="40"/>
        <w:ind w:left="576"/>
      </w:pPr>
      <w:r>
        <w:rPr>
          <w:rFonts w:ascii="Consolas" w:hAnsi="Consolas"/>
          <w:color w:val="B91C1C"/>
          <w:sz w:val="19"/>
        </w:rPr>
        <w:t>email</w:t>
      </w:r>
      <w:r>
        <w:rPr>
          <w:rFonts w:ascii="Calibri" w:hAnsi="Calibri"/>
          <w:sz w:val="21"/>
        </w:rPr>
        <w:t>: Valid contact and login email address.</w:t>
      </w:r>
    </w:p>
    <w:p>
      <w:pPr>
        <w:pStyle w:val="ListBullet"/>
        <w:spacing w:before="20" w:after="40"/>
        <w:ind w:left="576"/>
      </w:pPr>
      <w:r>
        <w:rPr>
          <w:rFonts w:ascii="Consolas" w:hAnsi="Consolas"/>
          <w:color w:val="B91C1C"/>
          <w:sz w:val="19"/>
        </w:rPr>
        <w:t>password</w:t>
      </w:r>
      <w:r>
        <w:rPr>
          <w:rFonts w:ascii="Calibri" w:hAnsi="Calibri"/>
          <w:sz w:val="21"/>
        </w:rPr>
        <w:t>: Secure passphrase (minimum 8 characters with strength validation).</w:t>
      </w:r>
    </w:p>
    <w:p>
      <w:pPr>
        <w:pStyle w:val="ListBullet"/>
        <w:spacing w:before="20" w:after="40"/>
        <w:ind w:left="576"/>
      </w:pPr>
      <w:r>
        <w:rPr>
          <w:rFonts w:ascii="Consolas" w:hAnsi="Consolas"/>
          <w:color w:val="B91C1C"/>
          <w:sz w:val="19"/>
        </w:rPr>
        <w:t>contact</w:t>
      </w:r>
      <w:r>
        <w:rPr>
          <w:rFonts w:ascii="Calibri" w:hAnsi="Calibri"/>
          <w:sz w:val="21"/>
        </w:rPr>
        <w:t>: Contact phone number for verification and security alerts.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1"/>
        </w:rPr>
        <w:t>Client-Side Validation</w:t>
      </w:r>
      <w:r>
        <w:rPr>
          <w:rFonts w:ascii="Calibri" w:hAnsi="Calibri"/>
          <w:sz w:val="21"/>
        </w:rPr>
        <w:t>: Checks password matching, email regex formatting, and required field completeness.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1"/>
        </w:rPr>
        <w:t>Backend Processing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sz w:val="21"/>
        </w:rPr>
        <w:t xml:space="preserve">Endpoint: </w:t>
      </w:r>
      <w:r>
        <w:rPr>
          <w:rFonts w:ascii="Consolas" w:hAnsi="Consolas"/>
          <w:color w:val="B91C1C"/>
          <w:sz w:val="19"/>
        </w:rPr>
        <w:t>POST /api/auth/register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sz w:val="21"/>
        </w:rPr>
        <w:t>Verifies email uniqueness in MongoDB (</w:t>
      </w:r>
      <w:r>
        <w:rPr>
          <w:rFonts w:ascii="Consolas" w:hAnsi="Consolas"/>
          <w:color w:val="B91C1C"/>
          <w:sz w:val="19"/>
        </w:rPr>
        <w:t>Users</w:t>
      </w:r>
      <w:r>
        <w:rPr>
          <w:rFonts w:ascii="Calibri" w:hAnsi="Calibri"/>
          <w:sz w:val="21"/>
        </w:rPr>
        <w:t xml:space="preserve"> collection).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sz w:val="21"/>
        </w:rPr>
        <w:t xml:space="preserve">Hashes password with </w:t>
      </w:r>
      <w:r>
        <w:rPr>
          <w:rFonts w:ascii="Consolas" w:hAnsi="Consolas"/>
          <w:color w:val="B91C1C"/>
          <w:sz w:val="19"/>
        </w:rPr>
        <w:t>bcryptjs</w:t>
      </w:r>
      <w:r>
        <w:rPr>
          <w:rFonts w:ascii="Calibri" w:hAnsi="Calibri"/>
          <w:sz w:val="21"/>
        </w:rPr>
        <w:t xml:space="preserve"> (salt rounds: 12).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sz w:val="21"/>
        </w:rPr>
        <w:t xml:space="preserve">Initializes trader profile with a default virtual cash wallet balance (e.g., </w:t>
      </w:r>
      <w:r>
        <w:rPr>
          <w:rFonts w:ascii="Consolas" w:hAnsi="Consolas"/>
          <w:color w:val="B91C1C"/>
          <w:sz w:val="19"/>
        </w:rPr>
        <w:t>$50,000.00 USD</w:t>
      </w:r>
      <w:r>
        <w:rPr>
          <w:rFonts w:ascii="Calibri" w:hAnsi="Calibri"/>
          <w:sz w:val="21"/>
        </w:rPr>
        <w:t>).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1"/>
        </w:rPr>
        <w:t>Outcome</w:t>
      </w:r>
      <w:r>
        <w:rPr>
          <w:rFonts w:ascii="Calibri" w:hAnsi="Calibri"/>
          <w:sz w:val="21"/>
        </w:rPr>
        <w:t xml:space="preserve">: Displays success notification modal/toast and immediately </w:t>
      </w:r>
      <w:r>
        <w:rPr>
          <w:rFonts w:ascii="Calibri" w:hAnsi="Calibri"/>
          <w:b/>
          <w:sz w:val="21"/>
        </w:rPr>
        <w:t>redirects user to Login</w:t>
      </w:r>
      <w:r>
        <w:rPr>
          <w:rFonts w:ascii="Calibri" w:hAnsi="Calibri"/>
          <w:sz w:val="21"/>
        </w:rPr>
        <w:t>.</w:t>
      </w:r>
    </w:p>
    <w:p>
      <w:pPr>
        <w:pStyle w:val="Heading3"/>
        <w:keepNext/>
        <w:spacing w:before="200" w:after="80"/>
      </w:pPr>
      <w:r>
        <w:rPr>
          <w:rFonts w:ascii="Segoe UI Semibold" w:hAnsi="Segoe UI Semibold"/>
          <w:b/>
          <w:color w:val="334155"/>
          <w:sz w:val="22"/>
        </w:rPr>
        <w:t>2B. Existing User Login Flow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1"/>
        </w:rPr>
        <w:t>User Action</w:t>
      </w:r>
      <w:r>
        <w:rPr>
          <w:rFonts w:ascii="Calibri" w:hAnsi="Calibri"/>
          <w:sz w:val="21"/>
        </w:rPr>
        <w:t xml:space="preserve">: Clicks </w:t>
      </w:r>
      <w:r>
        <w:rPr>
          <w:rFonts w:ascii="Calibri" w:hAnsi="Calibri"/>
          <w:b/>
          <w:sz w:val="21"/>
        </w:rPr>
        <w:t>Login</w:t>
      </w:r>
      <w:r>
        <w:rPr>
          <w:rFonts w:ascii="Calibri" w:hAnsi="Calibri"/>
          <w:sz w:val="21"/>
        </w:rPr>
        <w:t xml:space="preserve"> and inputs registered email and password credentials.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1"/>
        </w:rPr>
        <w:t>Backend Processing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sz w:val="21"/>
        </w:rPr>
        <w:t xml:space="preserve">Endpoint: </w:t>
      </w:r>
      <w:r>
        <w:rPr>
          <w:rFonts w:ascii="Consolas" w:hAnsi="Consolas"/>
          <w:color w:val="B91C1C"/>
          <w:sz w:val="19"/>
        </w:rPr>
        <w:t>POST /api/auth/login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sz w:val="21"/>
        </w:rPr>
        <w:t>Compares credentials against database hash (</w:t>
      </w:r>
      <w:r>
        <w:rPr>
          <w:rFonts w:ascii="Consolas" w:hAnsi="Consolas"/>
          <w:color w:val="B91C1C"/>
          <w:sz w:val="19"/>
        </w:rPr>
        <w:t>bcrypt.compare</w:t>
      </w:r>
      <w:r>
        <w:rPr>
          <w:rFonts w:ascii="Calibri" w:hAnsi="Calibri"/>
          <w:sz w:val="21"/>
        </w:rPr>
        <w:t>).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sz w:val="21"/>
        </w:rPr>
        <w:t xml:space="preserve">Issues signed stateless </w:t>
      </w:r>
      <w:r>
        <w:rPr>
          <w:rFonts w:ascii="Calibri" w:hAnsi="Calibri"/>
          <w:b/>
          <w:sz w:val="21"/>
        </w:rPr>
        <w:t>JSON Web Token (JWT)</w:t>
      </w:r>
      <w:r>
        <w:rPr>
          <w:rFonts w:ascii="Calibri" w:hAnsi="Calibri"/>
          <w:sz w:val="21"/>
        </w:rPr>
        <w:t xml:space="preserve"> containing </w:t>
      </w:r>
      <w:r>
        <w:rPr>
          <w:rFonts w:ascii="Consolas" w:hAnsi="Consolas"/>
          <w:color w:val="B91C1C"/>
          <w:sz w:val="19"/>
        </w:rPr>
        <w:t>userId</w:t>
      </w:r>
      <w:r>
        <w:rPr>
          <w:rFonts w:ascii="Calibri" w:hAnsi="Calibri"/>
          <w:sz w:val="21"/>
        </w:rPr>
        <w:t xml:space="preserve"> and user permissions.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1"/>
        </w:rPr>
        <w:t>Outcome</w:t>
      </w:r>
      <w:r>
        <w:rPr>
          <w:rFonts w:ascii="Calibri" w:hAnsi="Calibri"/>
          <w:sz w:val="21"/>
        </w:rPr>
        <w:t xml:space="preserve">: Client stores JWT token (localStorage / secure cookie), sets global auth context, and </w:t>
      </w:r>
      <w:r>
        <w:rPr>
          <w:rFonts w:ascii="Calibri" w:hAnsi="Calibri"/>
          <w:b/>
          <w:sz w:val="21"/>
        </w:rPr>
        <w:t>redirects to the Dashboard</w:t>
      </w:r>
      <w:r>
        <w:rPr>
          <w:rFonts w:ascii="Calibri" w:hAnsi="Calibri"/>
          <w:sz w:val="21"/>
        </w:rPr>
        <w:t>.</w:t>
      </w:r>
    </w:p>
    <w:p>
      <w:pPr>
        <w:spacing w:before="80" w:after="80"/>
      </w:pPr>
    </w:p>
    <w:p>
      <w:pPr>
        <w:pStyle w:val="Heading2"/>
        <w:keepNext/>
        <w:spacing w:before="200" w:after="80"/>
      </w:pPr>
      <w:r>
        <w:rPr>
          <w:rFonts w:ascii="Segoe UI Semibold" w:hAnsi="Segoe UI Semibold"/>
          <w:b/>
          <w:color w:val="0F766E"/>
          <w:sz w:val="26"/>
        </w:rPr>
        <w:t>3. 📊 Dashboard (Main Hub)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Context</w:t>
      </w:r>
      <w:r>
        <w:rPr>
          <w:rFonts w:ascii="Calibri" w:hAnsi="Calibri"/>
          <w:sz w:val="21"/>
        </w:rPr>
        <w:t>: The command center and primary focal point for all authenticated trader interactions.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UI Route</w:t>
      </w:r>
      <w:r>
        <w:rPr>
          <w:rFonts w:ascii="Calibri" w:hAnsi="Calibri"/>
          <w:sz w:val="21"/>
        </w:rPr>
        <w:t xml:space="preserve">: </w:t>
      </w:r>
      <w:r>
        <w:rPr>
          <w:rFonts w:ascii="Consolas" w:hAnsi="Consolas"/>
          <w:color w:val="B91C1C"/>
          <w:sz w:val="19"/>
        </w:rPr>
        <w:t>/dashboard</w:t>
      </w:r>
      <w:r>
        <w:rPr>
          <w:rFonts w:ascii="Calibri" w:hAnsi="Calibri"/>
          <w:sz w:val="21"/>
        </w:rPr>
        <w:t xml:space="preserve"> (</w:t>
      </w:r>
      <w:r>
        <w:rPr>
          <w:rFonts w:ascii="Consolas" w:hAnsi="Consolas"/>
          <w:color w:val="B91C1C"/>
          <w:sz w:val="19"/>
        </w:rPr>
        <w:t>UserHome.jsx</w:t>
      </w:r>
      <w:r>
        <w:rPr>
          <w:rFonts w:ascii="Calibri" w:hAnsi="Calibri"/>
          <w:sz w:val="21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Key Displays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b/>
          <w:sz w:val="21"/>
        </w:rPr>
        <w:t>Overall Virtual Funds</w:t>
      </w:r>
      <w:r>
        <w:rPr>
          <w:rFonts w:ascii="Calibri" w:hAnsi="Calibri"/>
          <w:sz w:val="21"/>
        </w:rPr>
        <w:t>: Live cash wallet balance available for simulated trading.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b/>
          <w:sz w:val="21"/>
        </w:rPr>
        <w:t>Portfolio Summary</w:t>
      </w:r>
      <w:r>
        <w:rPr>
          <w:rFonts w:ascii="Calibri" w:hAnsi="Calibri"/>
          <w:sz w:val="21"/>
        </w:rPr>
        <w:t>: Aggregate market value across all user portfolios with daily unrealized P&amp;L indicator.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b/>
          <w:sz w:val="21"/>
        </w:rPr>
        <w:t>Recent Activity Feed</w:t>
      </w:r>
      <w:r>
        <w:rPr>
          <w:rFonts w:ascii="Calibri" w:hAnsi="Calibri"/>
          <w:sz w:val="21"/>
        </w:rPr>
        <w:t>: Real-time snapshot of the 5 most recent orders and transactions.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b/>
          <w:sz w:val="21"/>
        </w:rPr>
        <w:t>Market Snapshot</w:t>
      </w:r>
      <w:r>
        <w:rPr>
          <w:rFonts w:ascii="Calibri" w:hAnsi="Calibri"/>
          <w:sz w:val="21"/>
        </w:rPr>
        <w:t>: Quick widget tracking major US stock movements.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Core Hub Navigation Options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b/>
          <w:sz w:val="21"/>
        </w:rPr>
        <w:t>Browse Stocks</w:t>
      </w:r>
      <w:r>
        <w:rPr>
          <w:rFonts w:ascii="Calibri" w:hAnsi="Calibri"/>
          <w:sz w:val="21"/>
        </w:rPr>
        <w:t>: Explore the complete US market catalog.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b/>
          <w:sz w:val="21"/>
        </w:rPr>
        <w:t>Create Portfolio</w:t>
      </w:r>
      <w:r>
        <w:rPr>
          <w:rFonts w:ascii="Calibri" w:hAnsi="Calibri"/>
          <w:sz w:val="21"/>
        </w:rPr>
        <w:t>: Set up a new isolated virtual portfolio.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b/>
          <w:sz w:val="21"/>
        </w:rPr>
        <w:t>View Portfolio</w:t>
      </w:r>
      <w:r>
        <w:rPr>
          <w:rFonts w:ascii="Calibri" w:hAnsi="Calibri"/>
          <w:sz w:val="21"/>
        </w:rPr>
        <w:t>: Inspect existing portfolio holdings, distribution, and performance.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b/>
          <w:sz w:val="21"/>
        </w:rPr>
        <w:t>Trade Stocks</w:t>
      </w:r>
      <w:r>
        <w:rPr>
          <w:rFonts w:ascii="Calibri" w:hAnsi="Calibri"/>
          <w:sz w:val="21"/>
        </w:rPr>
        <w:t>: Launch the quick order slip to execute paper trades.</w:t>
      </w:r>
    </w:p>
    <w:p>
      <w:pPr>
        <w:spacing w:before="80" w:after="80"/>
      </w:pPr>
    </w:p>
    <w:p>
      <w:pPr>
        <w:pStyle w:val="Heading2"/>
        <w:keepNext/>
        <w:spacing w:before="200" w:after="80"/>
      </w:pPr>
      <w:r>
        <w:rPr>
          <w:rFonts w:ascii="Segoe UI Semibold" w:hAnsi="Segoe UI Semibold"/>
          <w:b/>
          <w:color w:val="0F766E"/>
          <w:sz w:val="26"/>
        </w:rPr>
        <w:t>4. 🔍 Browse &amp; Explore Stocks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Context</w:t>
      </w:r>
      <w:r>
        <w:rPr>
          <w:rFonts w:ascii="Calibri" w:hAnsi="Calibri"/>
          <w:sz w:val="21"/>
        </w:rPr>
        <w:t>: Market research and stock discovery interface.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UI Route</w:t>
      </w:r>
      <w:r>
        <w:rPr>
          <w:rFonts w:ascii="Calibri" w:hAnsi="Calibri"/>
          <w:sz w:val="21"/>
        </w:rPr>
        <w:t xml:space="preserve">: </w:t>
      </w:r>
      <w:r>
        <w:rPr>
          <w:rFonts w:ascii="Consolas" w:hAnsi="Consolas"/>
          <w:color w:val="B91C1C"/>
          <w:sz w:val="19"/>
        </w:rPr>
        <w:t>/stocks</w:t>
      </w:r>
      <w:r>
        <w:rPr>
          <w:rFonts w:ascii="Calibri" w:hAnsi="Calibri"/>
          <w:sz w:val="21"/>
        </w:rPr>
        <w:t xml:space="preserve"> (</w:t>
      </w:r>
      <w:r>
        <w:rPr>
          <w:rFonts w:ascii="Consolas" w:hAnsi="Consolas"/>
          <w:color w:val="B91C1C"/>
          <w:sz w:val="19"/>
        </w:rPr>
        <w:t>BrowseStocks.jsx</w:t>
      </w:r>
      <w:r>
        <w:rPr>
          <w:rFonts w:ascii="Calibri" w:hAnsi="Calibri"/>
          <w:sz w:val="21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Key Interactions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b/>
          <w:sz w:val="21"/>
        </w:rPr>
        <w:t>Instant Search</w:t>
      </w:r>
      <w:r>
        <w:rPr>
          <w:rFonts w:ascii="Calibri" w:hAnsi="Calibri"/>
          <w:sz w:val="21"/>
        </w:rPr>
        <w:t xml:space="preserve">: Search US-listed stocks by ticker symbol (e.g., </w:t>
      </w:r>
      <w:r>
        <w:rPr>
          <w:rFonts w:ascii="Consolas" w:hAnsi="Consolas"/>
          <w:color w:val="B91C1C"/>
          <w:sz w:val="19"/>
        </w:rPr>
        <w:t>AAPL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B91C1C"/>
          <w:sz w:val="19"/>
        </w:rPr>
        <w:t>MSFT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B91C1C"/>
          <w:sz w:val="19"/>
        </w:rPr>
        <w:t>TSLA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B91C1C"/>
          <w:sz w:val="19"/>
        </w:rPr>
        <w:t>GOOGL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B91C1C"/>
          <w:sz w:val="19"/>
        </w:rPr>
        <w:t>NVDA</w:t>
      </w:r>
      <w:r>
        <w:rPr>
          <w:rFonts w:ascii="Calibri" w:hAnsi="Calibri"/>
          <w:sz w:val="21"/>
        </w:rPr>
        <w:t>) or corporate name.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b/>
          <w:sz w:val="21"/>
        </w:rPr>
        <w:t>Sector Filtering</w:t>
      </w:r>
      <w:r>
        <w:rPr>
          <w:rFonts w:ascii="Calibri" w:hAnsi="Calibri"/>
          <w:sz w:val="21"/>
        </w:rPr>
        <w:t>: Filter equities by sector (Technology, Healthcare, Energy, Finance, Consumer Goods).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b/>
          <w:sz w:val="21"/>
        </w:rPr>
        <w:t>Real-Time Price &amp; Trends</w:t>
      </w:r>
      <w:r>
        <w:rPr>
          <w:rFonts w:ascii="Calibri" w:hAnsi="Calibri"/>
          <w:sz w:val="21"/>
        </w:rPr>
        <w:t>: Live Bid/Ask quotes, daily price change dollar amounts, percentage changes, and 24-hour volume.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b/>
          <w:sz w:val="21"/>
        </w:rPr>
        <w:t>Stock Inspection</w:t>
      </w:r>
      <w:r>
        <w:rPr>
          <w:rFonts w:ascii="Calibri" w:hAnsi="Calibri"/>
          <w:sz w:val="21"/>
        </w:rPr>
        <w:t>: Clicking any stock card navigates to the detailed view with historical candlestick/line charts, 52-week ranges, market cap, and company profiles.</w:t>
      </w:r>
    </w:p>
    <w:p>
      <w:pPr>
        <w:spacing w:before="80" w:after="80"/>
      </w:pPr>
    </w:p>
    <w:p>
      <w:pPr>
        <w:pStyle w:val="Heading2"/>
        <w:keepNext/>
        <w:spacing w:before="200" w:after="80"/>
      </w:pPr>
      <w:r>
        <w:rPr>
          <w:rFonts w:ascii="Segoe UI Semibold" w:hAnsi="Segoe UI Semibold"/>
          <w:b/>
          <w:color w:val="0F766E"/>
          <w:sz w:val="26"/>
        </w:rPr>
        <w:t>5. 📈 Paper Trading (Buy/Sell)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Context</w:t>
      </w:r>
      <w:r>
        <w:rPr>
          <w:rFonts w:ascii="Calibri" w:hAnsi="Calibri"/>
          <w:sz w:val="21"/>
        </w:rPr>
        <w:t>: Realistic, risk-free simulated trade execution without financial capital exposure.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UI Route</w:t>
      </w:r>
      <w:r>
        <w:rPr>
          <w:rFonts w:ascii="Calibri" w:hAnsi="Calibri"/>
          <w:sz w:val="21"/>
        </w:rPr>
        <w:t xml:space="preserve">: </w:t>
      </w:r>
      <w:r>
        <w:rPr>
          <w:rFonts w:ascii="Consolas" w:hAnsi="Consolas"/>
          <w:color w:val="B91C1C"/>
          <w:sz w:val="19"/>
        </w:rPr>
        <w:t>/trade/:symbol</w:t>
      </w:r>
      <w:r>
        <w:rPr>
          <w:rFonts w:ascii="Calibri" w:hAnsi="Calibri"/>
          <w:sz w:val="21"/>
        </w:rPr>
        <w:t xml:space="preserve"> or Trade Modal (</w:t>
      </w:r>
      <w:r>
        <w:rPr>
          <w:rFonts w:ascii="Consolas" w:hAnsi="Consolas"/>
          <w:color w:val="B91C1C"/>
          <w:sz w:val="19"/>
        </w:rPr>
        <w:t>StockOrders.jsx</w:t>
      </w:r>
      <w:r>
        <w:rPr>
          <w:rFonts w:ascii="Calibri" w:hAnsi="Calibri"/>
          <w:sz w:val="21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Trading Workflow</w:t>
      </w:r>
      <w:r>
        <w:rPr>
          <w:rFonts w:ascii="Calibri" w:hAnsi="Calibri"/>
          <w:sz w:val="21"/>
        </w:rPr>
        <w:t>:</w:t>
      </w:r>
    </w:p>
    <w:p>
      <w:pPr>
        <w:pStyle w:val="ListNumber"/>
        <w:spacing w:before="20" w:after="40"/>
        <w:ind w:left="576"/>
      </w:pPr>
      <w:r>
        <w:rPr>
          <w:rFonts w:ascii="Calibri" w:hAnsi="Calibri"/>
          <w:b/>
          <w:sz w:val="21"/>
        </w:rPr>
        <w:t>Select Stock</w:t>
      </w:r>
      <w:r>
        <w:rPr>
          <w:rFonts w:ascii="Calibri" w:hAnsi="Calibri"/>
          <w:sz w:val="21"/>
        </w:rPr>
        <w:t xml:space="preserve">: Chooses target equity ticker (e.g., </w:t>
      </w:r>
      <w:r>
        <w:rPr>
          <w:rFonts w:ascii="Consolas" w:hAnsi="Consolas"/>
          <w:color w:val="B91C1C"/>
          <w:sz w:val="19"/>
        </w:rPr>
        <w:t>AAPL</w:t>
      </w:r>
      <w:r>
        <w:rPr>
          <w:rFonts w:ascii="Calibri" w:hAnsi="Calibri"/>
          <w:sz w:val="21"/>
        </w:rPr>
        <w:t>).</w:t>
      </w:r>
    </w:p>
    <w:p>
      <w:pPr>
        <w:pStyle w:val="ListNumber"/>
        <w:spacing w:before="20" w:after="40"/>
        <w:ind w:left="576"/>
      </w:pPr>
      <w:r>
        <w:rPr>
          <w:rFonts w:ascii="Calibri" w:hAnsi="Calibri"/>
          <w:b/>
          <w:sz w:val="21"/>
        </w:rPr>
        <w:t>Choose Direction</w:t>
      </w:r>
      <w:r>
        <w:rPr>
          <w:rFonts w:ascii="Calibri" w:hAnsi="Calibri"/>
          <w:sz w:val="21"/>
        </w:rPr>
        <w:t xml:space="preserve">: Toggles between </w:t>
      </w:r>
      <w:r>
        <w:rPr>
          <w:rFonts w:ascii="Calibri" w:hAnsi="Calibri"/>
          <w:b/>
          <w:sz w:val="21"/>
        </w:rPr>
        <w:t>BUY</w:t>
      </w:r>
      <w:r>
        <w:rPr>
          <w:rFonts w:ascii="Calibri" w:hAnsi="Calibri"/>
          <w:sz w:val="21"/>
        </w:rPr>
        <w:t xml:space="preserve"> and </w:t>
      </w:r>
      <w:r>
        <w:rPr>
          <w:rFonts w:ascii="Calibri" w:hAnsi="Calibri"/>
          <w:b/>
          <w:sz w:val="21"/>
        </w:rPr>
        <w:t>SELL</w:t>
      </w:r>
      <w:r>
        <w:rPr>
          <w:rFonts w:ascii="Calibri" w:hAnsi="Calibri"/>
          <w:sz w:val="21"/>
        </w:rPr>
        <w:t xml:space="preserve"> order modes.</w:t>
      </w:r>
    </w:p>
    <w:p>
      <w:pPr>
        <w:pStyle w:val="ListNumber"/>
        <w:spacing w:before="20" w:after="40"/>
        <w:ind w:left="576"/>
      </w:pPr>
      <w:r>
        <w:rPr>
          <w:rFonts w:ascii="Calibri" w:hAnsi="Calibri"/>
          <w:b/>
          <w:sz w:val="21"/>
        </w:rPr>
        <w:t>Order Parameters</w:t>
      </w:r>
      <w:r>
        <w:rPr>
          <w:rFonts w:ascii="Calibri" w:hAnsi="Calibri"/>
          <w:sz w:val="21"/>
        </w:rPr>
        <w:t>: Selects order category (</w:t>
      </w:r>
      <w:r>
        <w:rPr>
          <w:rFonts w:ascii="Calibri" w:hAnsi="Calibri"/>
          <w:b/>
          <w:sz w:val="21"/>
        </w:rPr>
        <w:t>MARKET</w:t>
      </w:r>
      <w:r>
        <w:rPr>
          <w:rFonts w:ascii="Calibri" w:hAnsi="Calibri"/>
          <w:sz w:val="21"/>
        </w:rPr>
        <w:t xml:space="preserve"> or </w:t>
      </w:r>
      <w:r>
        <w:rPr>
          <w:rFonts w:ascii="Calibri" w:hAnsi="Calibri"/>
          <w:b/>
          <w:sz w:val="21"/>
        </w:rPr>
        <w:t>LIMIT</w:t>
      </w:r>
      <w:r>
        <w:rPr>
          <w:rFonts w:ascii="Calibri" w:hAnsi="Calibri"/>
          <w:sz w:val="21"/>
        </w:rPr>
        <w:t>) and enters desired share quantity.</w:t>
      </w:r>
    </w:p>
    <w:p>
      <w:pPr>
        <w:pStyle w:val="ListNumber"/>
        <w:spacing w:before="20" w:after="40"/>
        <w:ind w:left="576"/>
      </w:pPr>
      <w:r>
        <w:rPr>
          <w:rFonts w:ascii="Calibri" w:hAnsi="Calibri"/>
          <w:b/>
          <w:sz w:val="21"/>
        </w:rPr>
        <w:t>Cost Estimation</w:t>
      </w:r>
      <w:r>
        <w:rPr>
          <w:rFonts w:ascii="Calibri" w:hAnsi="Calibri"/>
          <w:sz w:val="21"/>
        </w:rPr>
        <w:t xml:space="preserve">: Dynamic calculator computes </w:t>
      </w:r>
      <w:r>
        <w:rPr>
          <w:rFonts w:ascii="Consolas" w:hAnsi="Consolas"/>
          <w:color w:val="B91C1C"/>
          <w:sz w:val="19"/>
        </w:rPr>
        <w:t>Total Cost = Quantity × Current Price</w:t>
      </w:r>
      <w:r>
        <w:rPr>
          <w:rFonts w:ascii="Calibri" w:hAnsi="Calibri"/>
          <w:sz w:val="21"/>
        </w:rPr>
        <w:t xml:space="preserve"> + estimated simulated fees.</w:t>
      </w:r>
    </w:p>
    <w:p>
      <w:pPr>
        <w:pStyle w:val="ListNumber"/>
        <w:spacing w:before="20" w:after="40"/>
        <w:ind w:left="576"/>
      </w:pPr>
      <w:r>
        <w:rPr>
          <w:rFonts w:ascii="Calibri" w:hAnsi="Calibri"/>
          <w:b/>
          <w:sz w:val="21"/>
        </w:rPr>
        <w:t>Validation Check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i/>
          <w:sz w:val="21"/>
        </w:rPr>
        <w:t>For Buy</w:t>
      </w:r>
      <w:r>
        <w:rPr>
          <w:rFonts w:ascii="Calibri" w:hAnsi="Calibri"/>
          <w:sz w:val="21"/>
        </w:rPr>
        <w:t>: Verifies that available cash balance is sufficient (</w:t>
      </w:r>
      <w:r>
        <w:rPr>
          <w:rFonts w:ascii="Consolas" w:hAnsi="Consolas"/>
          <w:color w:val="B91C1C"/>
          <w:sz w:val="19"/>
        </w:rPr>
        <w:t>cashBalance &gt;= totalCost</w:t>
      </w:r>
      <w:r>
        <w:rPr>
          <w:rFonts w:ascii="Calibri" w:hAnsi="Calibri"/>
          <w:sz w:val="21"/>
        </w:rPr>
        <w:t>).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i/>
          <w:sz w:val="21"/>
        </w:rPr>
        <w:t>For Sell</w:t>
      </w:r>
      <w:r>
        <w:rPr>
          <w:rFonts w:ascii="Calibri" w:hAnsi="Calibri"/>
          <w:sz w:val="21"/>
        </w:rPr>
        <w:t>: Verifies that the user owns sufficient shares in the selected portfolio (</w:t>
      </w:r>
      <w:r>
        <w:rPr>
          <w:rFonts w:ascii="Consolas" w:hAnsi="Consolas"/>
          <w:color w:val="B91C1C"/>
          <w:sz w:val="19"/>
        </w:rPr>
        <w:t>sharesOwned &gt;= quantity</w:t>
      </w:r>
      <w:r>
        <w:rPr>
          <w:rFonts w:ascii="Calibri" w:hAnsi="Calibri"/>
          <w:sz w:val="21"/>
        </w:rPr>
        <w:t>).</w:t>
      </w:r>
    </w:p>
    <w:p>
      <w:pPr>
        <w:pStyle w:val="ListNumber"/>
        <w:spacing w:before="20" w:after="40"/>
        <w:ind w:left="576"/>
      </w:pPr>
      <w:r>
        <w:rPr>
          <w:rFonts w:ascii="Calibri" w:hAnsi="Calibri"/>
          <w:b/>
          <w:sz w:val="21"/>
        </w:rPr>
        <w:t>Confirm Transaction</w:t>
      </w:r>
      <w:r>
        <w:rPr>
          <w:rFonts w:ascii="Calibri" w:hAnsi="Calibri"/>
          <w:sz w:val="21"/>
        </w:rPr>
        <w:t xml:space="preserve">: Trader clicks </w:t>
      </w:r>
      <w:r>
        <w:rPr>
          <w:rFonts w:ascii="Calibri" w:hAnsi="Calibri"/>
          <w:b/>
          <w:sz w:val="21"/>
        </w:rPr>
        <w:t>Confirm Order</w:t>
      </w:r>
      <w:r>
        <w:rPr>
          <w:rFonts w:ascii="Calibri" w:hAnsi="Calibri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System Execution &amp; Real-Time Sync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sz w:val="21"/>
        </w:rPr>
        <w:t xml:space="preserve">Endpoint: </w:t>
      </w:r>
      <w:r>
        <w:rPr>
          <w:rFonts w:ascii="Consolas" w:hAnsi="Consolas"/>
          <w:color w:val="B91C1C"/>
          <w:sz w:val="19"/>
        </w:rPr>
        <w:t>POST /api/orders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sz w:val="21"/>
        </w:rPr>
        <w:t xml:space="preserve">Atomic database update: Deducts/credits cash balance in </w:t>
      </w:r>
      <w:r>
        <w:rPr>
          <w:rFonts w:ascii="Consolas" w:hAnsi="Consolas"/>
          <w:color w:val="B91C1C"/>
          <w:sz w:val="19"/>
        </w:rPr>
        <w:t>Users</w:t>
      </w:r>
      <w:r>
        <w:rPr>
          <w:rFonts w:ascii="Calibri" w:hAnsi="Calibri"/>
          <w:sz w:val="21"/>
        </w:rPr>
        <w:t xml:space="preserve">, creates an entry in </w:t>
      </w:r>
      <w:r>
        <w:rPr>
          <w:rFonts w:ascii="Consolas" w:hAnsi="Consolas"/>
          <w:color w:val="B91C1C"/>
          <w:sz w:val="19"/>
        </w:rPr>
        <w:t>Orders</w:t>
      </w:r>
      <w:r>
        <w:rPr>
          <w:rFonts w:ascii="Calibri" w:hAnsi="Calibri"/>
          <w:sz w:val="21"/>
        </w:rPr>
        <w:t xml:space="preserve">, updates portfolio holdings in </w:t>
      </w:r>
      <w:r>
        <w:rPr>
          <w:rFonts w:ascii="Consolas" w:hAnsi="Consolas"/>
          <w:color w:val="B91C1C"/>
          <w:sz w:val="19"/>
        </w:rPr>
        <w:t>Stocks</w:t>
      </w:r>
      <w:r>
        <w:rPr>
          <w:rFonts w:ascii="Calibri" w:hAnsi="Calibri"/>
          <w:sz w:val="21"/>
        </w:rPr>
        <w:t xml:space="preserve">, and appends a record in </w:t>
      </w:r>
      <w:r>
        <w:rPr>
          <w:rFonts w:ascii="Consolas" w:hAnsi="Consolas"/>
          <w:color w:val="B91C1C"/>
          <w:sz w:val="19"/>
        </w:rPr>
        <w:t>Transactions</w:t>
      </w:r>
      <w:r>
        <w:rPr>
          <w:rFonts w:ascii="Calibri" w:hAnsi="Calibri"/>
          <w:sz w:val="21"/>
        </w:rPr>
        <w:t>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sz w:val="21"/>
        </w:rPr>
        <w:t>Emits real-time state update to client UI; portfolio valuation and transaction lists refresh instantly without page reload.</w:t>
      </w:r>
    </w:p>
    <w:p>
      <w:pPr>
        <w:spacing w:before="80" w:after="80"/>
      </w:pPr>
    </w:p>
    <w:p>
      <w:pPr>
        <w:pStyle w:val="Heading2"/>
        <w:keepNext/>
        <w:spacing w:before="200" w:after="80"/>
      </w:pPr>
      <w:r>
        <w:rPr>
          <w:rFonts w:ascii="Segoe UI Semibold" w:hAnsi="Segoe UI Semibold"/>
          <w:b/>
          <w:color w:val="0F766E"/>
          <w:sz w:val="26"/>
        </w:rPr>
        <w:t>6. 💼 Portfolio Management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Context</w:t>
      </w:r>
      <w:r>
        <w:rPr>
          <w:rFonts w:ascii="Calibri" w:hAnsi="Calibri"/>
          <w:sz w:val="21"/>
        </w:rPr>
        <w:t>: Multi-portfolio management, asset allocation, and performance tracking.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UI Route</w:t>
      </w:r>
      <w:r>
        <w:rPr>
          <w:rFonts w:ascii="Calibri" w:hAnsi="Calibri"/>
          <w:sz w:val="21"/>
        </w:rPr>
        <w:t xml:space="preserve">: </w:t>
      </w:r>
      <w:r>
        <w:rPr>
          <w:rFonts w:ascii="Consolas" w:hAnsi="Consolas"/>
          <w:color w:val="B91C1C"/>
          <w:sz w:val="19"/>
        </w:rPr>
        <w:t>/portfolios</w:t>
      </w:r>
      <w:r>
        <w:rPr>
          <w:rFonts w:ascii="Calibri" w:hAnsi="Calibri"/>
          <w:sz w:val="21"/>
        </w:rPr>
        <w:t xml:space="preserve"> (</w:t>
      </w:r>
      <w:r>
        <w:rPr>
          <w:rFonts w:ascii="Consolas" w:hAnsi="Consolas"/>
          <w:color w:val="B91C1C"/>
          <w:sz w:val="19"/>
        </w:rPr>
        <w:t>PortfolioPage.jsx</w:t>
      </w:r>
      <w:r>
        <w:rPr>
          <w:rFonts w:ascii="Calibri" w:hAnsi="Calibri"/>
          <w:sz w:val="21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Key Capabilities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b/>
          <w:sz w:val="21"/>
        </w:rPr>
        <w:t>Create Multiple Virtual Portfolios</w:t>
      </w:r>
      <w:r>
        <w:rPr>
          <w:rFonts w:ascii="Calibri" w:hAnsi="Calibri"/>
          <w:sz w:val="21"/>
        </w:rPr>
        <w:t xml:space="preserve">: Set up separate portfolios dedicated to distinct strategies (e.g., </w:t>
      </w:r>
      <w:r>
        <w:rPr>
          <w:rFonts w:ascii="Calibri" w:hAnsi="Calibri"/>
          <w:i/>
          <w:sz w:val="21"/>
        </w:rPr>
        <w:t>"Tech Growth"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i/>
          <w:sz w:val="21"/>
        </w:rPr>
        <w:t>"Dividend Income"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i/>
          <w:sz w:val="21"/>
        </w:rPr>
        <w:t>"Short-Term Momentum"</w:t>
      </w:r>
      <w:r>
        <w:rPr>
          <w:rFonts w:ascii="Calibri" w:hAnsi="Calibri"/>
          <w:sz w:val="21"/>
        </w:rPr>
        <w:t>).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b/>
          <w:sz w:val="21"/>
        </w:rPr>
        <w:t>Add/Remove Stocks</w:t>
      </w:r>
      <w:r>
        <w:rPr>
          <w:rFonts w:ascii="Calibri" w:hAnsi="Calibri"/>
          <w:sz w:val="21"/>
        </w:rPr>
        <w:t>: Allocate purchased shares to specific portfolios or rebalance positions.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b/>
          <w:sz w:val="21"/>
        </w:rPr>
        <w:t>Holdings Table</w:t>
      </w:r>
      <w:r>
        <w:rPr>
          <w:rFonts w:ascii="Calibri" w:hAnsi="Calibri"/>
          <w:sz w:val="21"/>
        </w:rPr>
        <w:t>: Displays ticker, company name, shares count, average acquisition price, live market price, current total value, and unrealized profit/loss.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b/>
          <w:sz w:val="21"/>
        </w:rPr>
        <w:t>Performance Charts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b/>
          <w:sz w:val="21"/>
        </w:rPr>
        <w:t>Asset Allocation</w:t>
      </w:r>
      <w:r>
        <w:rPr>
          <w:rFonts w:ascii="Calibri" w:hAnsi="Calibri"/>
          <w:sz w:val="21"/>
        </w:rPr>
        <w:t>: Interactive pie chart displaying sector and stock weighting.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b/>
          <w:sz w:val="21"/>
        </w:rPr>
        <w:t>P&amp;L Visualizer</w:t>
      </w:r>
      <w:r>
        <w:rPr>
          <w:rFonts w:ascii="Calibri" w:hAnsi="Calibri"/>
          <w:sz w:val="21"/>
        </w:rPr>
        <w:t>: Bar charts showing gain/loss trajectories across daily, weekly, and monthly intervals.</w:t>
      </w:r>
    </w:p>
    <w:p>
      <w:pPr>
        <w:spacing w:before="80" w:after="80"/>
      </w:pPr>
    </w:p>
    <w:p>
      <w:pPr>
        <w:pStyle w:val="Heading2"/>
        <w:keepNext/>
        <w:spacing w:before="200" w:after="80"/>
      </w:pPr>
      <w:r>
        <w:rPr>
          <w:rFonts w:ascii="Segoe UI Semibold" w:hAnsi="Segoe UI Semibold"/>
          <w:b/>
          <w:color w:val="0F766E"/>
          <w:sz w:val="26"/>
        </w:rPr>
        <w:t>7. 📜 Transactions History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Context</w:t>
      </w:r>
      <w:r>
        <w:rPr>
          <w:rFonts w:ascii="Calibri" w:hAnsi="Calibri"/>
          <w:sz w:val="21"/>
        </w:rPr>
        <w:t>: Complete, immutable financial and order settlement audit log.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UI Route</w:t>
      </w:r>
      <w:r>
        <w:rPr>
          <w:rFonts w:ascii="Calibri" w:hAnsi="Calibri"/>
          <w:sz w:val="21"/>
        </w:rPr>
        <w:t xml:space="preserve">: </w:t>
      </w:r>
      <w:r>
        <w:rPr>
          <w:rFonts w:ascii="Consolas" w:hAnsi="Consolas"/>
          <w:color w:val="B91C1C"/>
          <w:sz w:val="19"/>
        </w:rPr>
        <w:t>/transactions</w:t>
      </w:r>
      <w:r>
        <w:rPr>
          <w:rFonts w:ascii="Calibri" w:hAnsi="Calibri"/>
          <w:sz w:val="21"/>
        </w:rPr>
        <w:t xml:space="preserve"> (</w:t>
      </w:r>
      <w:r>
        <w:rPr>
          <w:rFonts w:ascii="Consolas" w:hAnsi="Consolas"/>
          <w:color w:val="B91C1C"/>
          <w:sz w:val="19"/>
        </w:rPr>
        <w:t>TransactionsPage.jsx</w:t>
      </w:r>
      <w:r>
        <w:rPr>
          <w:rFonts w:ascii="Calibri" w:hAnsi="Calibri"/>
          <w:sz w:val="21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Ledger Information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sz w:val="21"/>
        </w:rPr>
        <w:t>Unique Transaction Reference ID.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sz w:val="21"/>
        </w:rPr>
        <w:t>Exact timestamp of execution.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sz w:val="21"/>
        </w:rPr>
        <w:t>Transaction Type (</w:t>
      </w:r>
      <w:r>
        <w:rPr>
          <w:rFonts w:ascii="Consolas" w:hAnsi="Consolas"/>
          <w:color w:val="B91C1C"/>
          <w:sz w:val="19"/>
        </w:rPr>
        <w:t>STOCK_BUY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B91C1C"/>
          <w:sz w:val="19"/>
        </w:rPr>
        <w:t>STOCK_SELL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B91C1C"/>
          <w:sz w:val="19"/>
        </w:rPr>
        <w:t>DEPOSIT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B91C1C"/>
          <w:sz w:val="19"/>
        </w:rPr>
        <w:t>WITHDRAWAL</w:t>
      </w:r>
      <w:r>
        <w:rPr>
          <w:rFonts w:ascii="Calibri" w:hAnsi="Calibri"/>
          <w:sz w:val="21"/>
        </w:rPr>
        <w:t>).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sz w:val="21"/>
        </w:rPr>
        <w:t>Stock Symbol and Company Name.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sz w:val="21"/>
        </w:rPr>
        <w:t>Executed Price, Share Count, and Net Monetary Total.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sz w:val="21"/>
        </w:rPr>
        <w:t>Payment Mode (</w:t>
      </w:r>
      <w:r>
        <w:rPr>
          <w:rFonts w:ascii="Consolas" w:hAnsi="Consolas"/>
          <w:color w:val="B91C1C"/>
          <w:sz w:val="19"/>
        </w:rPr>
        <w:t>WALLET</w:t>
      </w:r>
      <w:r>
        <w:rPr>
          <w:rFonts w:ascii="Calibri" w:hAnsi="Calibri"/>
          <w:sz w:val="21"/>
        </w:rPr>
        <w:t>).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sz w:val="21"/>
        </w:rPr>
        <w:t>Settlement Status (</w:t>
      </w:r>
      <w:r>
        <w:rPr>
          <w:rFonts w:ascii="Consolas" w:hAnsi="Consolas"/>
          <w:color w:val="B91C1C"/>
          <w:sz w:val="19"/>
        </w:rPr>
        <w:t>SUCCESS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B91C1C"/>
          <w:sz w:val="19"/>
        </w:rPr>
        <w:t>PENDING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B91C1C"/>
          <w:sz w:val="19"/>
        </w:rPr>
        <w:t>FAILED</w:t>
      </w:r>
      <w:r>
        <w:rPr>
          <w:rFonts w:ascii="Calibri" w:hAnsi="Calibri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Filtering &amp; Search</w:t>
      </w:r>
      <w:r>
        <w:rPr>
          <w:rFonts w:ascii="Calibri" w:hAnsi="Calibri"/>
          <w:sz w:val="21"/>
        </w:rPr>
        <w:t>: Search transactions by date range, specific stock symbol, or order direction.</w:t>
      </w:r>
    </w:p>
    <w:p>
      <w:pPr>
        <w:spacing w:before="80" w:after="80"/>
      </w:pPr>
    </w:p>
    <w:p>
      <w:pPr>
        <w:pStyle w:val="Heading2"/>
        <w:keepNext/>
        <w:spacing w:before="200" w:after="80"/>
      </w:pPr>
      <w:r>
        <w:rPr>
          <w:rFonts w:ascii="Segoe UI Semibold" w:hAnsi="Segoe UI Semibold"/>
          <w:b/>
          <w:color w:val="0F766E"/>
          <w:sz w:val="26"/>
        </w:rPr>
        <w:t>8. 🧠 Learning &amp; Strategy Testing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Context</w:t>
      </w:r>
      <w:r>
        <w:rPr>
          <w:rFonts w:ascii="Calibri" w:hAnsi="Calibri"/>
          <w:sz w:val="21"/>
        </w:rPr>
        <w:t>: Strategy experimentation, quantitative evaluation, and skill refinement.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UI Route</w:t>
      </w:r>
      <w:r>
        <w:rPr>
          <w:rFonts w:ascii="Calibri" w:hAnsi="Calibri"/>
          <w:sz w:val="21"/>
        </w:rPr>
        <w:t xml:space="preserve">: </w:t>
      </w:r>
      <w:r>
        <w:rPr>
          <w:rFonts w:ascii="Consolas" w:hAnsi="Consolas"/>
          <w:color w:val="B91C1C"/>
          <w:sz w:val="19"/>
        </w:rPr>
        <w:t>/analytics</w:t>
      </w:r>
      <w:r>
        <w:rPr>
          <w:rFonts w:ascii="Calibri" w:hAnsi="Calibri"/>
          <w:sz w:val="21"/>
        </w:rPr>
        <w:t xml:space="preserve"> (</w:t>
      </w:r>
      <w:r>
        <w:rPr>
          <w:rFonts w:ascii="Consolas" w:hAnsi="Consolas"/>
          <w:color w:val="B91C1C"/>
          <w:sz w:val="19"/>
        </w:rPr>
        <w:t>StrategyTesting.jsx</w:t>
      </w:r>
      <w:r>
        <w:rPr>
          <w:rFonts w:ascii="Calibri" w:hAnsi="Calibri"/>
          <w:sz w:val="21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Capabilities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b/>
          <w:sz w:val="21"/>
        </w:rPr>
        <w:t>Historical Trend Analysis</w:t>
      </w:r>
      <w:r>
        <w:rPr>
          <w:rFonts w:ascii="Calibri" w:hAnsi="Calibri"/>
          <w:sz w:val="21"/>
        </w:rPr>
        <w:t>: Review multi-period OHLCV charts (1D, 1W, 1M, 1Y, 5Y) to spot recurring technical patterns (support/resistance, moving average crossovers).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b/>
          <w:sz w:val="21"/>
        </w:rPr>
        <w:t>Strategy Comparison</w:t>
      </w:r>
      <w:r>
        <w:rPr>
          <w:rFonts w:ascii="Calibri" w:hAnsi="Calibri"/>
          <w:sz w:val="21"/>
        </w:rPr>
        <w:t>: Compare returns between different virtual portfolios (e.g., comparing a high-beta growth portfolio against a low-beta dividend portfolio).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b/>
          <w:sz w:val="21"/>
        </w:rPr>
        <w:t>Execution Review</w:t>
      </w:r>
      <w:r>
        <w:rPr>
          <w:rFonts w:ascii="Calibri" w:hAnsi="Calibri"/>
          <w:sz w:val="21"/>
        </w:rPr>
        <w:t>: Analyze win/loss rates, average gain per winning trade vs. average loss per losing trade, and maximum portfolio drawdown.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b/>
          <w:sz w:val="21"/>
        </w:rPr>
        <w:t>Iteration</w:t>
      </w:r>
      <w:r>
        <w:rPr>
          <w:rFonts w:ascii="Calibri" w:hAnsi="Calibri"/>
          <w:sz w:val="21"/>
        </w:rPr>
        <w:t>: Refine limit prices, trade sizing, and exit disciplines based on empirical simulation results.</w:t>
      </w:r>
    </w:p>
    <w:p>
      <w:pPr>
        <w:spacing w:before="80" w:after="80"/>
      </w:pPr>
    </w:p>
    <w:p>
      <w:pPr>
        <w:pStyle w:val="Heading2"/>
        <w:keepNext/>
        <w:spacing w:before="200" w:after="80"/>
      </w:pPr>
      <w:r>
        <w:rPr>
          <w:rFonts w:ascii="Segoe UI Semibold" w:hAnsi="Segoe UI Semibold"/>
          <w:b/>
          <w:color w:val="0F766E"/>
          <w:sz w:val="26"/>
        </w:rPr>
        <w:t>9. 🚪 Logout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Context</w:t>
      </w:r>
      <w:r>
        <w:rPr>
          <w:rFonts w:ascii="Calibri" w:hAnsi="Calibri"/>
          <w:sz w:val="21"/>
        </w:rPr>
        <w:t>: Secure termination of user session.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Workflow</w:t>
      </w:r>
      <w:r>
        <w:rPr>
          <w:rFonts w:ascii="Calibri" w:hAnsi="Calibri"/>
          <w:sz w:val="21"/>
        </w:rPr>
        <w:t>:</w:t>
      </w:r>
    </w:p>
    <w:p>
      <w:pPr>
        <w:pStyle w:val="ListNumber"/>
        <w:spacing w:before="20" w:after="40"/>
        <w:ind w:left="576"/>
      </w:pPr>
      <w:r>
        <w:rPr>
          <w:rFonts w:ascii="Calibri" w:hAnsi="Calibri"/>
          <w:sz w:val="21"/>
        </w:rPr>
        <w:t xml:space="preserve">Trader clicks </w:t>
      </w:r>
      <w:r>
        <w:rPr>
          <w:rFonts w:ascii="Calibri" w:hAnsi="Calibri"/>
          <w:b/>
          <w:sz w:val="21"/>
        </w:rPr>
        <w:t>Logout</w:t>
      </w:r>
      <w:r>
        <w:rPr>
          <w:rFonts w:ascii="Calibri" w:hAnsi="Calibri"/>
          <w:sz w:val="21"/>
        </w:rPr>
        <w:t xml:space="preserve"> from user dropdown menu or navigation bar.</w:t>
      </w:r>
    </w:p>
    <w:p>
      <w:pPr>
        <w:pStyle w:val="ListNumber"/>
        <w:spacing w:before="20" w:after="40"/>
        <w:ind w:left="576"/>
      </w:pPr>
      <w:r>
        <w:rPr>
          <w:rFonts w:ascii="Calibri" w:hAnsi="Calibri"/>
          <w:sz w:val="21"/>
        </w:rPr>
        <w:t>Client clears stored JWT authentication token from browser storage.</w:t>
      </w:r>
    </w:p>
    <w:p>
      <w:pPr>
        <w:pStyle w:val="ListNumber"/>
        <w:spacing w:before="20" w:after="40"/>
        <w:ind w:left="576"/>
      </w:pPr>
      <w:r>
        <w:rPr>
          <w:rFonts w:ascii="Calibri" w:hAnsi="Calibri"/>
          <w:sz w:val="21"/>
        </w:rPr>
        <w:t>Resets in-memory React application state (user profile, cash wallet balance, active portfolio cache).</w:t>
      </w:r>
    </w:p>
    <w:p>
      <w:pPr>
        <w:pStyle w:val="ListNumber"/>
        <w:spacing w:before="20" w:after="40"/>
        <w:ind w:left="576"/>
      </w:pPr>
      <w:r>
        <w:rPr>
          <w:rFonts w:ascii="Calibri" w:hAnsi="Calibri"/>
          <w:sz w:val="21"/>
        </w:rPr>
        <w:t xml:space="preserve">Securely redirects trader back to the public </w:t>
      </w:r>
      <w:r>
        <w:rPr>
          <w:rFonts w:ascii="Calibri" w:hAnsi="Calibri"/>
          <w:b/>
          <w:sz w:val="21"/>
        </w:rPr>
        <w:t>Landing Page</w:t>
      </w:r>
      <w:r>
        <w:rPr>
          <w:rFonts w:ascii="Calibri" w:hAnsi="Calibri"/>
          <w:sz w:val="21"/>
        </w:rPr>
        <w:t xml:space="preserve"> (</w:t>
      </w:r>
      <w:r>
        <w:rPr>
          <w:rFonts w:ascii="Consolas" w:hAnsi="Consolas"/>
          <w:color w:val="B91C1C"/>
          <w:sz w:val="19"/>
        </w:rPr>
        <w:t>/</w:t>
      </w:r>
      <w:r>
        <w:rPr>
          <w:rFonts w:ascii="Calibri" w:hAnsi="Calibri"/>
          <w:sz w:val="21"/>
        </w:rPr>
        <w:t>).</w:t>
      </w:r>
    </w:p>
    <w:p>
      <w:pPr>
        <w:spacing w:before="80" w:after="80"/>
      </w:pPr>
    </w:p>
    <w:p>
      <w:pPr>
        <w:pStyle w:val="Heading1"/>
        <w:keepNext/>
        <w:spacing w:before="280" w:after="80"/>
      </w:pPr>
      <w:r>
        <w:rPr>
          <w:rFonts w:ascii="Segoe UI Semibold" w:hAnsi="Segoe UI Semibold"/>
          <w:b/>
          <w:color w:val="1E3A8A"/>
          <w:sz w:val="32"/>
        </w:rPr>
        <w:t>🗺️ State Transition Matrix</w:t>
      </w:r>
    </w:p>
    <w:p>
      <w:pPr>
        <w:spacing w:before="0" w:after="100" w:line="276" w:lineRule="auto"/>
      </w:pPr>
      <w:r>
        <w:rPr>
          <w:rFonts w:ascii="Calibri" w:hAnsi="Calibri"/>
          <w:sz w:val="21"/>
        </w:rPr>
        <w:t>The table below outlines how user actions trigger state transitions across the frontend views, backend APIs, and persistence collections: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8" w:space="0" w:color="CBD5E1"/>
          <w:right w:val="none"/>
          <w:insideH w:val="single" w:sz="4" w:space="0" w:color="CBD5E1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0" w:after="0" w:line="264" w:lineRule="auto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Current State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0" w:after="0" w:line="264" w:lineRule="auto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User Action / Trigger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0" w:after="0" w:line="264" w:lineRule="auto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Next State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0" w:after="0" w:line="264" w:lineRule="auto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Frontend View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0" w:after="0" w:line="264" w:lineRule="auto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Backend API Endpoint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0" w:after="0" w:line="264" w:lineRule="auto"/>
            </w:pPr>
            <w:r>
              <w:rPr>
                <w:rFonts w:ascii="Segoe UI Semibold" w:hAnsi="Segoe UI Semibold"/>
                <w:b/>
                <w:color w:val="FFFFFF"/>
                <w:sz w:val="19"/>
              </w:rPr>
              <w:t>Database Collection Impact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:---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:---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:---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:---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:---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:---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sz w:val="21"/>
              </w:rPr>
              <w:t>Unauthenticated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Enters website URL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Landing Page View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LandingPage.jsx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Static Asset Serve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None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sz w:val="21"/>
              </w:rPr>
              <w:t>Landing Page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Clicks "Register"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Register Screen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RegisterModal.jsx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None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None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sz w:val="21"/>
              </w:rPr>
              <w:t>Register Screen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Submits credentials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Login Screen (Redirect)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LoginModal.jsx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POST /api/auth/register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Users</w:t>
            </w:r>
            <w:r>
              <w:rPr>
                <w:rFonts w:ascii="Calibri" w:hAnsi="Calibri"/>
                <w:sz w:val="21"/>
              </w:rPr>
              <w:t xml:space="preserve"> (Insert user record)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sz w:val="21"/>
              </w:rPr>
              <w:t>Login Screen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Submits login credentials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Authenticated Dashboard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UserHome.jsx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POST /api/auth/login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Users</w:t>
            </w:r>
            <w:r>
              <w:rPr>
                <w:rFonts w:ascii="Calibri" w:hAnsi="Calibri"/>
                <w:sz w:val="21"/>
              </w:rPr>
              <w:t xml:space="preserve"> (Fetch &amp; verify credentials)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sz w:val="21"/>
              </w:rPr>
              <w:t>Dashboard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Clicks "Browse Stocks"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Stock Catalog View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BrowseStocks.jsx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GET /api/stocks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Stocks</w:t>
            </w:r>
            <w:r>
              <w:rPr>
                <w:rFonts w:ascii="Calibri" w:hAnsi="Calibri"/>
                <w:sz w:val="21"/>
              </w:rPr>
              <w:t xml:space="preserve"> (Read market catalog)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sz w:val="21"/>
              </w:rPr>
              <w:t>Browse Stocks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Selects specific stock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Stock Detail &amp; Chart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StockDetail.jsx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GET /api/stocks/:symbol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Stocks</w:t>
            </w:r>
            <w:r>
              <w:rPr>
                <w:rFonts w:ascii="Calibri" w:hAnsi="Calibri"/>
                <w:sz w:val="21"/>
              </w:rPr>
              <w:t xml:space="preserve"> (Read quote &amp; history)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sz w:val="21"/>
              </w:rPr>
              <w:t>Stock Detail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Clicks "Buy Stock"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Buy Order Confirmation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OrderSlip.jsx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POST /api/orders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Orders</w:t>
            </w:r>
            <w:r>
              <w:rPr>
                <w:rFonts w:ascii="Calibri" w:hAnsi="Calibri"/>
                <w:sz w:val="21"/>
              </w:rPr>
              <w:t xml:space="preserve">, </w:t>
            </w:r>
            <w:r>
              <w:rPr>
                <w:rFonts w:ascii="Consolas" w:hAnsi="Consolas"/>
                <w:color w:val="B91C1C"/>
                <w:sz w:val="19"/>
              </w:rPr>
              <w:t>Users</w:t>
            </w:r>
            <w:r>
              <w:rPr>
                <w:rFonts w:ascii="Calibri" w:hAnsi="Calibri"/>
                <w:sz w:val="21"/>
              </w:rPr>
              <w:t xml:space="preserve">, </w:t>
            </w:r>
            <w:r>
              <w:rPr>
                <w:rFonts w:ascii="Consolas" w:hAnsi="Consolas"/>
                <w:color w:val="B91C1C"/>
                <w:sz w:val="19"/>
              </w:rPr>
              <w:t>Stocks</w:t>
            </w:r>
            <w:r>
              <w:rPr>
                <w:rFonts w:ascii="Calibri" w:hAnsi="Calibri"/>
                <w:sz w:val="21"/>
              </w:rPr>
              <w:t xml:space="preserve">, </w:t>
            </w:r>
            <w:r>
              <w:rPr>
                <w:rFonts w:ascii="Consolas" w:hAnsi="Consolas"/>
                <w:color w:val="B91C1C"/>
                <w:sz w:val="19"/>
              </w:rPr>
              <w:t>Transactions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sz w:val="21"/>
              </w:rPr>
              <w:t>Stock Detail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Clicks "Sell Stock"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Sell Order Confirmation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OrderSlip.jsx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POST /api/orders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Orders</w:t>
            </w:r>
            <w:r>
              <w:rPr>
                <w:rFonts w:ascii="Calibri" w:hAnsi="Calibri"/>
                <w:sz w:val="21"/>
              </w:rPr>
              <w:t xml:space="preserve">, </w:t>
            </w:r>
            <w:r>
              <w:rPr>
                <w:rFonts w:ascii="Consolas" w:hAnsi="Consolas"/>
                <w:color w:val="B91C1C"/>
                <w:sz w:val="19"/>
              </w:rPr>
              <w:t>Users</w:t>
            </w:r>
            <w:r>
              <w:rPr>
                <w:rFonts w:ascii="Calibri" w:hAnsi="Calibri"/>
                <w:sz w:val="21"/>
              </w:rPr>
              <w:t xml:space="preserve">, </w:t>
            </w:r>
            <w:r>
              <w:rPr>
                <w:rFonts w:ascii="Consolas" w:hAnsi="Consolas"/>
                <w:color w:val="B91C1C"/>
                <w:sz w:val="19"/>
              </w:rPr>
              <w:t>Stocks</w:t>
            </w:r>
            <w:r>
              <w:rPr>
                <w:rFonts w:ascii="Calibri" w:hAnsi="Calibri"/>
                <w:sz w:val="21"/>
              </w:rPr>
              <w:t xml:space="preserve">, </w:t>
            </w:r>
            <w:r>
              <w:rPr>
                <w:rFonts w:ascii="Consolas" w:hAnsi="Consolas"/>
                <w:color w:val="B91C1C"/>
                <w:sz w:val="19"/>
              </w:rPr>
              <w:t>Transactions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sz w:val="21"/>
              </w:rPr>
              <w:t>Dashboard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Clicks "Manage Portfolio"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Portfolio Overview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PortfolioPage.jsx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GET /api/portfolios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Stocks</w:t>
            </w:r>
            <w:r>
              <w:rPr>
                <w:rFonts w:ascii="Calibri" w:hAnsi="Calibri"/>
                <w:sz w:val="21"/>
              </w:rPr>
              <w:t xml:space="preserve"> (Read user holdings)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sz w:val="21"/>
              </w:rPr>
              <w:t>Portfolio View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Creates new portfolio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Updated Portfolio List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PortfolioModal.jsx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POST /api/portfolios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Portfolios</w:t>
            </w:r>
            <w:r>
              <w:rPr>
                <w:rFonts w:ascii="Calibri" w:hAnsi="Calibri"/>
                <w:sz w:val="21"/>
              </w:rPr>
              <w:t xml:space="preserve"> (Create portfolio)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sz w:val="21"/>
              </w:rPr>
              <w:t>Dashboard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Clicks "View History"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Transactions Log View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TransactionsPage.jsx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GET /api/transactions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Transactions</w:t>
            </w:r>
            <w:r>
              <w:rPr>
                <w:rFonts w:ascii="Calibri" w:hAnsi="Calibri"/>
                <w:sz w:val="21"/>
              </w:rPr>
              <w:t xml:space="preserve"> (Query ledger)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sz w:val="21"/>
              </w:rPr>
              <w:t>Stock Detail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Clicks "Analyze Strategies"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Strategy Analytics View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StrategyTesting.jsx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GET /api/stocks/:symbol/history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Stocks</w:t>
            </w:r>
            <w:r>
              <w:rPr>
                <w:rFonts w:ascii="Calibri" w:hAnsi="Calibri"/>
                <w:sz w:val="21"/>
              </w:rPr>
              <w:t xml:space="preserve"> (Historical data read)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sz w:val="21"/>
              </w:rPr>
              <w:t>Any Authenticated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Clicks "Logout"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Public Landing Page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B91C1C"/>
                <w:sz w:val="19"/>
              </w:rPr>
              <w:t>LandingPage.jsx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Client Token Purge</w:t>
            </w:r>
          </w:p>
        </w:tc>
        <w:tc>
          <w:tcPr>
            <w:tcW w:type="dxa" w:w="165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21"/>
              </w:rPr>
              <w:t>None</w:t>
            </w:r>
          </w:p>
        </w:tc>
      </w:tr>
    </w:tbl>
    <w:p>
      <w:pPr>
        <w:spacing w:before="0" w:after="120"/>
      </w:pPr>
    </w:p>
    <w:p>
      <w:pPr>
        <w:spacing w:before="80" w:after="80"/>
      </w:pPr>
    </w:p>
    <w:p>
      <w:pPr>
        <w:pStyle w:val="Heading1"/>
        <w:keepNext/>
        <w:spacing w:before="280" w:after="80"/>
      </w:pPr>
      <w:r>
        <w:rPr>
          <w:rFonts w:ascii="Segoe UI Semibold" w:hAnsi="Segoe UI Semibold"/>
          <w:b/>
          <w:color w:val="1E3A8A"/>
          <w:sz w:val="32"/>
        </w:rPr>
        <w:t>🛡️ Error &amp; Edge Case Handling in User Flow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1"/>
        </w:rPr>
        <w:t>Duplicate Email During Registration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sz w:val="21"/>
        </w:rPr>
        <w:t xml:space="preserve">Backend returns </w:t>
      </w:r>
      <w:r>
        <w:rPr>
          <w:rFonts w:ascii="Consolas" w:hAnsi="Consolas"/>
          <w:color w:val="B91C1C"/>
          <w:sz w:val="19"/>
        </w:rPr>
        <w:t>409 Conflict</w:t>
      </w:r>
      <w:r>
        <w:rPr>
          <w:rFonts w:ascii="Calibri" w:hAnsi="Calibri"/>
          <w:sz w:val="21"/>
        </w:rPr>
        <w:t>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sz w:val="21"/>
        </w:rPr>
        <w:t xml:space="preserve">UI displays clear notification: </w:t>
      </w:r>
      <w:r>
        <w:rPr>
          <w:rFonts w:ascii="Calibri" w:hAnsi="Calibri"/>
          <w:i/>
          <w:sz w:val="21"/>
        </w:rPr>
        <w:t>"An account with this email already exists. Please login instead."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1"/>
        </w:rPr>
        <w:t>Invalid Login Credentials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sz w:val="21"/>
        </w:rPr>
        <w:t xml:space="preserve">Backend returns </w:t>
      </w:r>
      <w:r>
        <w:rPr>
          <w:rFonts w:ascii="Consolas" w:hAnsi="Consolas"/>
          <w:color w:val="B91C1C"/>
          <w:sz w:val="19"/>
        </w:rPr>
        <w:t>401 Unauthorized</w:t>
      </w:r>
      <w:r>
        <w:rPr>
          <w:rFonts w:ascii="Calibri" w:hAnsi="Calibri"/>
          <w:sz w:val="21"/>
        </w:rPr>
        <w:t>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sz w:val="21"/>
        </w:rPr>
        <w:t>UI flags invalid fields without exposing whether email or password was the incorrect element.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1"/>
        </w:rPr>
        <w:t>Insufficient Funds on Buy Order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sz w:val="21"/>
        </w:rPr>
        <w:t xml:space="preserve">Trade modal disables submit button with warning: </w:t>
      </w:r>
      <w:r>
        <w:rPr>
          <w:rFonts w:ascii="Calibri" w:hAnsi="Calibri"/>
          <w:i/>
          <w:sz w:val="21"/>
        </w:rPr>
        <w:t>"Insufficient virtual cash balance. Requires $X, available $Y."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1"/>
        </w:rPr>
        <w:t>Overselling Shares on Sell Order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sz w:val="21"/>
        </w:rPr>
        <w:t xml:space="preserve">Order validation rejects requests when </w:t>
      </w:r>
      <w:r>
        <w:rPr>
          <w:rFonts w:ascii="Consolas" w:hAnsi="Consolas"/>
          <w:color w:val="B91C1C"/>
          <w:sz w:val="19"/>
        </w:rPr>
        <w:t>orderQuantity &gt; ownedShares</w:t>
      </w:r>
      <w:r>
        <w:rPr>
          <w:rFonts w:ascii="Calibri" w:hAnsi="Calibri"/>
          <w:sz w:val="21"/>
        </w:rPr>
        <w:t>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sz w:val="21"/>
        </w:rPr>
        <w:t xml:space="preserve">UI warns: </w:t>
      </w:r>
      <w:r>
        <w:rPr>
          <w:rFonts w:ascii="Calibri" w:hAnsi="Calibri"/>
          <w:i/>
          <w:sz w:val="21"/>
        </w:rPr>
        <w:t>"Cannot sell more shares than currently held in portfolio."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1"/>
        </w:rPr>
        <w:t>Token Expiration / Invalid Session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sz w:val="21"/>
        </w:rPr>
        <w:t xml:space="preserve">Express </w:t>
      </w:r>
      <w:r>
        <w:rPr>
          <w:rFonts w:ascii="Consolas" w:hAnsi="Consolas"/>
          <w:color w:val="B91C1C"/>
          <w:sz w:val="19"/>
        </w:rPr>
        <w:t>authMiddleware</w:t>
      </w:r>
      <w:r>
        <w:rPr>
          <w:rFonts w:ascii="Calibri" w:hAnsi="Calibri"/>
          <w:sz w:val="21"/>
        </w:rPr>
        <w:t xml:space="preserve"> returns </w:t>
      </w:r>
      <w:r>
        <w:rPr>
          <w:rFonts w:ascii="Consolas" w:hAnsi="Consolas"/>
          <w:color w:val="B91C1C"/>
          <w:sz w:val="19"/>
        </w:rPr>
        <w:t>401 Unauthorized</w:t>
      </w:r>
      <w:r>
        <w:rPr>
          <w:rFonts w:ascii="Calibri" w:hAnsi="Calibri"/>
          <w:sz w:val="21"/>
        </w:rPr>
        <w:t>.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sz w:val="21"/>
        </w:rPr>
        <w:t xml:space="preserve">Client interceptor clears stale token, presents a session expiration notice, and redirects user to </w:t>
      </w:r>
      <w:r>
        <w:rPr>
          <w:rFonts w:ascii="Consolas" w:hAnsi="Consolas"/>
          <w:color w:val="B91C1C"/>
          <w:sz w:val="19"/>
        </w:rPr>
        <w:t>/login</w:t>
      </w:r>
      <w:r>
        <w:rPr>
          <w:rFonts w:ascii="Calibri" w:hAnsi="Calibri"/>
          <w:sz w:val="21"/>
        </w:rPr>
        <w:t>.</w:t>
      </w:r>
    </w:p>
    <w:p>
      <w:pPr>
        <w:spacing w:before="80" w:after="80"/>
      </w:pPr>
    </w:p>
    <w:p>
      <w:pPr>
        <w:pStyle w:val="Heading1"/>
        <w:keepNext/>
        <w:spacing w:before="280" w:after="80"/>
      </w:pPr>
      <w:r>
        <w:rPr>
          <w:rFonts w:ascii="Segoe UI Semibold" w:hAnsi="Segoe UI Semibold"/>
          <w:b/>
          <w:color w:val="1E3A8A"/>
          <w:sz w:val="32"/>
        </w:rPr>
        <w:t>🔗 Related Documentation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[README.md](../README.md)</w:t>
      </w:r>
      <w:r>
        <w:rPr>
          <w:rFonts w:ascii="Calibri" w:hAnsi="Calibri"/>
          <w:sz w:val="21"/>
        </w:rPr>
        <w:t>: Main project overview, quickstart instructions, and system tier summary.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[SB Stocks MVC Pattern](MVC_PATTERN.md)</w:t>
      </w:r>
      <w:r>
        <w:rPr>
          <w:rFonts w:ascii="Calibri" w:hAnsi="Calibri"/>
          <w:sz w:val="21"/>
        </w:rPr>
        <w:t>: Model-View-Controller design architecture, routing/controller mappings, and schema operations.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[Platform Features Specification](FEATURES.md)</w:t>
      </w:r>
      <w:r>
        <w:rPr>
          <w:rFonts w:ascii="Calibri" w:hAnsi="Calibri"/>
          <w:sz w:val="21"/>
        </w:rPr>
        <w:t>: Exhaustive breakdown of features, trader capabilities, and UX matrices.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[System Architecture Specification](ARCHITECTURE.md)</w:t>
      </w:r>
      <w:r>
        <w:rPr>
          <w:rFonts w:ascii="Calibri" w:hAnsi="Calibri"/>
          <w:sz w:val="21"/>
        </w:rPr>
        <w:t>: Detailed tier-by-tier architecture, component communication, and system responsibility rules.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1"/>
        </w:rPr>
        <w:t>[SB Stocks ER Diagrams](ER_DIAGRAMS.md)</w:t>
      </w:r>
      <w:r>
        <w:rPr>
          <w:rFonts w:ascii="Calibri" w:hAnsi="Calibri"/>
          <w:sz w:val="21"/>
        </w:rPr>
        <w:t>: Relational schema, collection attribute dictionaries, and data models.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7"/>
      </w:rPr>
      <w:t>Confidential  •  Institutional Equity Simulation Desk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TradeX Technical Specification  |  TradeX End-to-End User Flow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