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8AF85">
      <w:pPr>
        <w:pStyle w:val="15"/>
        <w:rPr>
          <w:rFonts w:hint="eastAsia"/>
        </w:rPr>
      </w:pPr>
      <w:r>
        <w:drawing>
          <wp:anchor distT="0" distB="0" distL="114300" distR="114300" simplePos="0" relativeHeight="251671552" behindDoc="0" locked="0" layoutInCell="1" allowOverlap="1">
            <wp:simplePos x="0" y="0"/>
            <wp:positionH relativeFrom="column">
              <wp:posOffset>-9525</wp:posOffset>
            </wp:positionH>
            <wp:positionV relativeFrom="paragraph">
              <wp:posOffset>72390</wp:posOffset>
            </wp:positionV>
            <wp:extent cx="5734050" cy="704850"/>
            <wp:effectExtent l="0" t="0" r="0" b="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734050" cy="704850"/>
                    </a:xfrm>
                    <a:prstGeom prst="rect">
                      <a:avLst/>
                    </a:prstGeom>
                    <a:noFill/>
                    <a:ln>
                      <a:noFill/>
                    </a:ln>
                  </pic:spPr>
                </pic:pic>
              </a:graphicData>
            </a:graphic>
          </wp:anchor>
        </w:drawing>
      </w:r>
    </w:p>
    <w:p w14:paraId="27D3BCA0">
      <w:pPr>
        <w:pStyle w:val="14"/>
        <w:rPr>
          <w:rFonts w:hint="eastAsia"/>
        </w:rPr>
      </w:pPr>
      <w:r>
        <w:fldChar w:fldCharType="begin"/>
      </w:r>
      <w:r>
        <w:instrText xml:space="preserve"> TITLE  \* MERGEFORMAT </w:instrText>
      </w:r>
      <w:r>
        <w:fldChar w:fldCharType="separate"/>
      </w:r>
      <w:r>
        <w:rPr>
          <w:rFonts w:hint="eastAsia" w:ascii="黑体" w:hAnsi="黑体" w:eastAsia="黑体" w:cs="Times New Roman"/>
          <w:b/>
          <w:sz w:val="32"/>
          <w:szCs w:val="32"/>
          <w:lang w:val="en-US" w:eastAsia="zh-CN" w:bidi="ar-SA"/>
        </w:rPr>
        <w:t>慧管电池——分布式储能柜电池性能监测与智能预测系统</w:t>
      </w:r>
      <w:r>
        <w:rPr>
          <w:rFonts w:hint="eastAsia"/>
        </w:rPr>
        <w:t xml:space="preserve"> — 设计说明书</w:t>
      </w:r>
      <w:r>
        <w:fldChar w:fldCharType="end"/>
      </w:r>
    </w:p>
    <w:p w14:paraId="3B761124">
      <w:pPr>
        <w:pStyle w:val="15"/>
        <w:jc w:val="center"/>
        <w:rPr>
          <w:rFonts w:hint="eastAsia" w:ascii="Lucida Sans Unicode" w:hAnsi="Lucida Sans Unicode" w:cs="Lucida Sans Unicode"/>
        </w:rPr>
      </w:pPr>
    </w:p>
    <w:p w14:paraId="10C0F8EF">
      <w:pPr>
        <w:pStyle w:val="15"/>
        <w:jc w:val="center"/>
        <w:rPr>
          <w:rFonts w:hint="default" w:eastAsia="黑体"/>
          <w:lang w:val="en-US" w:eastAsia="zh-CN"/>
        </w:rPr>
      </w:pPr>
      <w:r>
        <w:rPr>
          <w:rFonts w:hint="eastAsia" w:ascii="Lucida Sans Unicode" w:hAnsi="Lucida Sans Unicode" w:cs="Lucida Sans Unicode"/>
        </w:rPr>
        <w:t>参赛</w:t>
      </w:r>
      <w:r>
        <w:rPr>
          <w:rFonts w:ascii="Lucida Sans Unicode" w:hAnsi="Lucida Sans Unicode" w:cs="Lucida Sans Unicode"/>
        </w:rPr>
        <w:t>编号：</w:t>
      </w:r>
      <w:r>
        <w:rPr>
          <w:rFonts w:hint="eastAsia" w:ascii="Lucida Sans Unicode" w:hAnsi="Lucida Sans Unicode" w:cs="Lucida Sans Unicode"/>
          <w:lang w:val="en-US" w:eastAsia="zh-CN"/>
        </w:rPr>
        <w:t>20260300</w:t>
      </w:r>
    </w:p>
    <w:p w14:paraId="08A9E3D9">
      <w:pPr>
        <w:pStyle w:val="15"/>
        <w:jc w:val="center"/>
        <w:rPr>
          <w:rFonts w:hint="eastAsia" w:ascii="Lucida Sans Unicode" w:hAnsi="Lucida Sans Unicode" w:eastAsia="黑体" w:cs="Lucida Sans Unicode"/>
          <w:lang w:val="en-US" w:eastAsia="zh-CN"/>
        </w:rPr>
      </w:pPr>
      <w:r>
        <w:rPr>
          <w:rFonts w:hint="eastAsia" w:ascii="Lucida Sans Unicode" w:hAnsi="Lucida Sans Unicode" w:cs="Lucida Sans Unicode"/>
        </w:rPr>
        <w:t>参赛学校：</w:t>
      </w:r>
      <w:r>
        <w:rPr>
          <w:rFonts w:hint="eastAsia" w:ascii="Lucida Sans Unicode" w:hAnsi="Lucida Sans Unicode" w:cs="Lucida Sans Unicode"/>
          <w:lang w:val="en-US" w:eastAsia="zh-CN"/>
        </w:rPr>
        <w:t>上海电力大学</w:t>
      </w:r>
    </w:p>
    <w:p w14:paraId="368CB48F">
      <w:pPr>
        <w:pStyle w:val="15"/>
        <w:jc w:val="center"/>
        <w:rPr>
          <w:rFonts w:hint="default" w:ascii="Lucida Sans Unicode" w:hAnsi="Lucida Sans Unicode" w:eastAsia="黑体" w:cs="Lucida Sans Unicode"/>
          <w:lang w:val="en-US" w:eastAsia="zh-CN"/>
        </w:rPr>
      </w:pPr>
      <w:r>
        <w:rPr>
          <w:rFonts w:hint="eastAsia" w:ascii="Lucida Sans Unicode" w:hAnsi="Lucida Sans Unicode" w:cs="Lucida Sans Unicode"/>
        </w:rPr>
        <w:t>参赛成员：</w:t>
      </w:r>
      <w:r>
        <w:rPr>
          <w:rFonts w:hint="eastAsia" w:ascii="Lucida Sans Unicode" w:hAnsi="Lucida Sans Unicode" w:cs="Lucida Sans Unicode"/>
          <w:lang w:val="en-US" w:eastAsia="zh-CN"/>
        </w:rPr>
        <w:t>吴冰玉</w:t>
      </w:r>
      <w:r>
        <w:rPr>
          <w:rFonts w:hint="eastAsia" w:ascii="Lucida Sans Unicode" w:hAnsi="Lucida Sans Unicode" w:cs="Lucida Sans Unicode"/>
        </w:rPr>
        <w:t xml:space="preserve"> </w:t>
      </w:r>
      <w:r>
        <w:rPr>
          <w:rFonts w:hint="eastAsia" w:ascii="Lucida Sans Unicode" w:hAnsi="Lucida Sans Unicode" w:cs="Lucida Sans Unicode"/>
          <w:lang w:val="en-US" w:eastAsia="zh-CN"/>
        </w:rPr>
        <w:t>赵世越</w:t>
      </w:r>
      <w:r>
        <w:rPr>
          <w:rFonts w:hint="eastAsia" w:ascii="Lucida Sans Unicode" w:hAnsi="Lucida Sans Unicode" w:cs="Lucida Sans Unicode"/>
        </w:rPr>
        <w:t xml:space="preserve"> </w:t>
      </w:r>
      <w:r>
        <w:rPr>
          <w:rFonts w:hint="eastAsia" w:ascii="Lucida Sans Unicode" w:hAnsi="Lucida Sans Unicode" w:cs="Lucida Sans Unicode"/>
          <w:lang w:val="en-US" w:eastAsia="zh-CN"/>
        </w:rPr>
        <w:t>计雯婷</w:t>
      </w:r>
    </w:p>
    <w:p w14:paraId="0F5E74C4">
      <w:pPr>
        <w:pStyle w:val="15"/>
        <w:rPr>
          <w:rFonts w:hint="eastAsia" w:ascii="Lucida Sans Unicode" w:hAnsi="Lucida Sans Unicode" w:cs="Lucida Sans Unicode"/>
        </w:rPr>
      </w:pPr>
    </w:p>
    <w:p w14:paraId="374AF008">
      <w:pPr>
        <w:pStyle w:val="15"/>
        <w:rPr>
          <w:rFonts w:hint="eastAsia" w:ascii="Lucida Sans Unicode" w:hAnsi="Lucida Sans Unicode" w:cs="Lucida Sans Unicode"/>
        </w:rPr>
      </w:pPr>
    </w:p>
    <w:p w14:paraId="5A14C420">
      <w:pPr>
        <w:pStyle w:val="15"/>
      </w:pPr>
      <w:r>
        <w:rPr>
          <w:rFonts w:hint="eastAsia"/>
          <w:lang w:val="en-US" w:eastAsia="zh-CN"/>
        </w:rPr>
        <w:t>2026</w:t>
      </w:r>
      <w:r>
        <w:rPr>
          <w:rFonts w:hint="eastAsia"/>
        </w:rPr>
        <w:t>年</w:t>
      </w:r>
      <w:r>
        <w:rPr>
          <w:rFonts w:hint="eastAsia"/>
          <w:lang w:val="en-US" w:eastAsia="zh-CN"/>
        </w:rPr>
        <w:t>04</w:t>
      </w:r>
      <w:r>
        <w:rPr>
          <w:rFonts w:hint="eastAsia"/>
        </w:rPr>
        <w:t>月</w:t>
      </w:r>
      <w:r>
        <w:rPr>
          <w:rFonts w:hint="eastAsia"/>
          <w:lang w:val="en-US" w:eastAsia="zh-CN"/>
        </w:rPr>
        <w:t>13</w:t>
      </w:r>
      <w:r>
        <w:rPr>
          <w:rFonts w:hint="eastAsia"/>
        </w:rPr>
        <w:t>日</w:t>
      </w:r>
    </w:p>
    <w:p w14:paraId="0329C14C">
      <w:pPr>
        <w:pStyle w:val="15"/>
      </w:pPr>
    </w:p>
    <w:p w14:paraId="1089BD7C">
      <w:pPr>
        <w:pStyle w:val="15"/>
      </w:pPr>
    </w:p>
    <w:p w14:paraId="33BCB445">
      <w:pPr>
        <w:pStyle w:val="15"/>
      </w:pPr>
    </w:p>
    <w:p w14:paraId="1E15D66A">
      <w:pPr>
        <w:pStyle w:val="15"/>
      </w:pPr>
    </w:p>
    <w:p w14:paraId="172963D1">
      <w:pPr>
        <w:pStyle w:val="15"/>
      </w:pPr>
    </w:p>
    <w:p w14:paraId="0891940C">
      <w:pPr>
        <w:pStyle w:val="15"/>
      </w:pPr>
    </w:p>
    <w:p w14:paraId="6A44F533">
      <w:pPr>
        <w:pStyle w:val="15"/>
      </w:pPr>
    </w:p>
    <w:p w14:paraId="4530A1F1">
      <w:pPr>
        <w:pStyle w:val="15"/>
      </w:pPr>
    </w:p>
    <w:p w14:paraId="40BCF35F">
      <w:pPr>
        <w:pStyle w:val="15"/>
      </w:pPr>
    </w:p>
    <w:p w14:paraId="74028DF4">
      <w:pPr>
        <w:pStyle w:val="15"/>
      </w:pPr>
    </w:p>
    <w:sdt>
      <w:sdtPr>
        <w:rPr>
          <w:rFonts w:ascii="宋体" w:hAnsi="宋体" w:eastAsia="宋体" w:cs="宋体"/>
          <w:sz w:val="21"/>
          <w:szCs w:val="24"/>
        </w:rPr>
        <w:id w:val="147457188"/>
        <w15:color w:val="DBDBDB"/>
        <w:docPartObj>
          <w:docPartGallery w:val="Table of Contents"/>
          <w:docPartUnique/>
        </w:docPartObj>
      </w:sdtPr>
      <w:sdtEndPr>
        <w:rPr>
          <w:rFonts w:hint="eastAsia" w:ascii="宋体" w:hAnsi="宋体" w:eastAsia="宋体" w:cs="宋体"/>
          <w:sz w:val="21"/>
          <w:szCs w:val="21"/>
        </w:rPr>
      </w:sdtEndPr>
      <w:sdtContent>
        <w:p w14:paraId="6004F943">
          <w:pPr>
            <w:spacing w:before="0" w:beforeLines="0" w:after="0" w:afterLines="0" w:line="240" w:lineRule="auto"/>
            <w:ind w:left="0" w:leftChars="0" w:right="0" w:rightChars="0" w:firstLine="0" w:firstLineChars="0"/>
            <w:jc w:val="center"/>
            <w:rPr>
              <w:rFonts w:ascii="宋体" w:hAnsi="宋体" w:eastAsia="宋体" w:cs="宋体"/>
              <w:sz w:val="21"/>
              <w:szCs w:val="24"/>
            </w:rPr>
          </w:pPr>
        </w:p>
        <w:p w14:paraId="435146B9">
          <w:pPr>
            <w:spacing w:before="0" w:beforeLines="0" w:after="0" w:afterLines="0" w:line="240" w:lineRule="auto"/>
            <w:ind w:left="0" w:leftChars="0" w:right="0" w:rightChars="0" w:firstLine="0" w:firstLineChars="0"/>
            <w:jc w:val="center"/>
            <w:rPr>
              <w:sz w:val="36"/>
              <w:szCs w:val="36"/>
            </w:rPr>
          </w:pPr>
          <w:r>
            <w:rPr>
              <w:rFonts w:ascii="宋体" w:hAnsi="宋体" w:eastAsia="宋体"/>
              <w:sz w:val="28"/>
              <w:szCs w:val="36"/>
            </w:rPr>
            <w:t>目录</w:t>
          </w:r>
        </w:p>
        <w:p w14:paraId="37977F98">
          <w:pPr>
            <w:pStyle w:val="13"/>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_Toc30580 </w:instrText>
          </w:r>
          <w:r>
            <w:rPr>
              <w:rFonts w:hint="eastAsia" w:ascii="宋体" w:hAnsi="宋体" w:eastAsia="宋体" w:cs="宋体"/>
              <w:sz w:val="21"/>
              <w:szCs w:val="21"/>
            </w:rPr>
            <w:fldChar w:fldCharType="separate"/>
          </w:r>
          <w:r>
            <w:rPr>
              <w:rFonts w:hint="eastAsia" w:ascii="宋体" w:hAnsi="宋体" w:eastAsia="宋体" w:cs="宋体"/>
              <w:sz w:val="21"/>
              <w:szCs w:val="21"/>
            </w:rPr>
            <w:t>1 简介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_Toc30580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F821D51">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_Toc29279 </w:instrText>
          </w:r>
          <w:r>
            <w:rPr>
              <w:rFonts w:hint="eastAsia" w:ascii="宋体" w:hAnsi="宋体" w:eastAsia="宋体" w:cs="宋体"/>
              <w:sz w:val="21"/>
              <w:szCs w:val="21"/>
            </w:rPr>
            <w:fldChar w:fldCharType="separate"/>
          </w:r>
          <w:r>
            <w:rPr>
              <w:rFonts w:hint="eastAsia" w:ascii="宋体" w:hAnsi="宋体" w:eastAsia="宋体" w:cs="宋体"/>
              <w:sz w:val="21"/>
              <w:szCs w:val="21"/>
            </w:rPr>
            <w:t>1.1 项目背景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_Toc29279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8218FE9">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_Toc30958 </w:instrText>
          </w:r>
          <w:r>
            <w:rPr>
              <w:rFonts w:hint="eastAsia" w:ascii="宋体" w:hAnsi="宋体" w:eastAsia="宋体" w:cs="宋体"/>
              <w:sz w:val="21"/>
              <w:szCs w:val="21"/>
            </w:rPr>
            <w:fldChar w:fldCharType="separate"/>
          </w:r>
          <w:r>
            <w:rPr>
              <w:rFonts w:hint="eastAsia" w:ascii="宋体" w:hAnsi="宋体" w:eastAsia="宋体" w:cs="宋体"/>
              <w:sz w:val="21"/>
              <w:szCs w:val="21"/>
            </w:rPr>
            <w:t>1.2 项目实施计划</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_Toc30958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BEC3AC7">
          <w:pPr>
            <w:pStyle w:val="13"/>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_Toc15550 </w:instrText>
          </w:r>
          <w:r>
            <w:rPr>
              <w:rFonts w:hint="eastAsia" w:ascii="宋体" w:hAnsi="宋体" w:eastAsia="宋体" w:cs="宋体"/>
              <w:sz w:val="21"/>
              <w:szCs w:val="21"/>
            </w:rPr>
            <w:fldChar w:fldCharType="separate"/>
          </w:r>
          <w:r>
            <w:rPr>
              <w:rFonts w:hint="eastAsia" w:ascii="宋体" w:hAnsi="宋体" w:eastAsia="宋体" w:cs="宋体"/>
              <w:sz w:val="21"/>
              <w:szCs w:val="21"/>
            </w:rPr>
            <w:t>2 总体设计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_Toc15550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D57C6FE">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_Toc29317 </w:instrText>
          </w:r>
          <w:r>
            <w:rPr>
              <w:rFonts w:hint="eastAsia" w:ascii="宋体" w:hAnsi="宋体" w:eastAsia="宋体" w:cs="宋体"/>
              <w:sz w:val="21"/>
              <w:szCs w:val="21"/>
            </w:rPr>
            <w:fldChar w:fldCharType="separate"/>
          </w:r>
          <w:r>
            <w:rPr>
              <w:rFonts w:hint="eastAsia" w:ascii="宋体" w:hAnsi="宋体" w:eastAsia="宋体" w:cs="宋体"/>
              <w:sz w:val="21"/>
              <w:szCs w:val="21"/>
            </w:rPr>
            <w:t>2.1 系统功能</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_Toc29317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E002811">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_Toc30335 </w:instrText>
          </w:r>
          <w:r>
            <w:rPr>
              <w:rFonts w:hint="eastAsia" w:ascii="宋体" w:hAnsi="宋体" w:eastAsia="宋体" w:cs="宋体"/>
              <w:sz w:val="21"/>
              <w:szCs w:val="21"/>
            </w:rPr>
            <w:fldChar w:fldCharType="separate"/>
          </w:r>
          <w:r>
            <w:rPr>
              <w:rFonts w:hint="eastAsia" w:ascii="宋体" w:hAnsi="宋体" w:eastAsia="宋体" w:cs="宋体"/>
              <w:sz w:val="21"/>
              <w:szCs w:val="21"/>
            </w:rPr>
            <w:t>2.1.1 功能概述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_Toc30335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13C4C7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_Toc16338 </w:instrText>
          </w:r>
          <w:r>
            <w:rPr>
              <w:rFonts w:hint="eastAsia" w:ascii="宋体" w:hAnsi="宋体" w:eastAsia="宋体" w:cs="宋体"/>
              <w:sz w:val="21"/>
              <w:szCs w:val="21"/>
            </w:rPr>
            <w:fldChar w:fldCharType="separate"/>
          </w:r>
          <w:r>
            <w:rPr>
              <w:rFonts w:hint="eastAsia" w:ascii="宋体" w:hAnsi="宋体" w:eastAsia="宋体" w:cs="宋体"/>
              <w:sz w:val="21"/>
              <w:szCs w:val="21"/>
            </w:rPr>
            <w:t>2.1.2 功能说明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_Toc16338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7C35D5F">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_Toc21638 </w:instrText>
          </w:r>
          <w:r>
            <w:rPr>
              <w:rFonts w:hint="eastAsia" w:ascii="宋体" w:hAnsi="宋体" w:eastAsia="宋体" w:cs="宋体"/>
              <w:sz w:val="21"/>
              <w:szCs w:val="21"/>
            </w:rPr>
            <w:fldChar w:fldCharType="separate"/>
          </w:r>
          <w:r>
            <w:rPr>
              <w:rFonts w:hint="eastAsia" w:ascii="宋体" w:hAnsi="宋体" w:eastAsia="宋体" w:cs="宋体"/>
              <w:sz w:val="21"/>
              <w:szCs w:val="21"/>
            </w:rPr>
            <w:t>2.2 系统软硬件平台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_Toc21638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EA9901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_Toc13077 </w:instrText>
          </w:r>
          <w:r>
            <w:rPr>
              <w:rFonts w:hint="eastAsia" w:ascii="宋体" w:hAnsi="宋体" w:eastAsia="宋体" w:cs="宋体"/>
              <w:sz w:val="21"/>
              <w:szCs w:val="21"/>
            </w:rPr>
            <w:fldChar w:fldCharType="separate"/>
          </w:r>
          <w:r>
            <w:rPr>
              <w:rFonts w:hint="eastAsia" w:ascii="宋体" w:hAnsi="宋体" w:eastAsia="宋体" w:cs="宋体"/>
              <w:sz w:val="21"/>
              <w:szCs w:val="21"/>
            </w:rPr>
            <w:t>2.2.1 系统开发平台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_Toc13077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253DA2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_Toc13651 </w:instrText>
          </w:r>
          <w:r>
            <w:rPr>
              <w:rFonts w:hint="eastAsia" w:ascii="宋体" w:hAnsi="宋体" w:eastAsia="宋体" w:cs="宋体"/>
              <w:sz w:val="21"/>
              <w:szCs w:val="21"/>
            </w:rPr>
            <w:fldChar w:fldCharType="separate"/>
          </w:r>
          <w:r>
            <w:rPr>
              <w:rFonts w:hint="eastAsia" w:ascii="宋体" w:hAnsi="宋体" w:eastAsia="宋体" w:cs="宋体"/>
              <w:sz w:val="21"/>
              <w:szCs w:val="21"/>
            </w:rPr>
            <w:t>2.2.2 系统运行平台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_Toc13651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5153D0C">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_Toc14599 </w:instrText>
          </w:r>
          <w:r>
            <w:rPr>
              <w:rFonts w:hint="eastAsia" w:ascii="宋体" w:hAnsi="宋体" w:eastAsia="宋体" w:cs="宋体"/>
              <w:sz w:val="21"/>
              <w:szCs w:val="21"/>
            </w:rPr>
            <w:fldChar w:fldCharType="separate"/>
          </w:r>
          <w:r>
            <w:rPr>
              <w:rFonts w:hint="eastAsia" w:ascii="宋体" w:hAnsi="宋体" w:eastAsia="宋体" w:cs="宋体"/>
              <w:sz w:val="21"/>
              <w:szCs w:val="21"/>
            </w:rPr>
            <w:t>2.3 关键技术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_Toc14599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693AAB9">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_Toc8722 </w:instrText>
          </w:r>
          <w:r>
            <w:rPr>
              <w:rFonts w:hint="eastAsia" w:ascii="宋体" w:hAnsi="宋体" w:eastAsia="宋体" w:cs="宋体"/>
              <w:sz w:val="21"/>
              <w:szCs w:val="21"/>
            </w:rPr>
            <w:fldChar w:fldCharType="separate"/>
          </w:r>
          <w:r>
            <w:rPr>
              <w:rFonts w:hint="eastAsia" w:ascii="宋体" w:hAnsi="宋体" w:eastAsia="宋体" w:cs="宋体"/>
              <w:sz w:val="21"/>
              <w:szCs w:val="21"/>
            </w:rPr>
            <w:t>2.4 作品特色</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_Toc8722 \h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BFBC0FF">
          <w:pPr>
            <w:pStyle w:val="13"/>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_Toc4144 </w:instrText>
          </w:r>
          <w:r>
            <w:rPr>
              <w:rFonts w:hint="eastAsia" w:ascii="宋体" w:hAnsi="宋体" w:eastAsia="宋体" w:cs="宋体"/>
              <w:sz w:val="21"/>
              <w:szCs w:val="21"/>
            </w:rPr>
            <w:fldChar w:fldCharType="separate"/>
          </w:r>
          <w:r>
            <w:rPr>
              <w:rFonts w:hint="eastAsia" w:ascii="宋体" w:hAnsi="宋体" w:eastAsia="宋体" w:cs="宋体"/>
              <w:sz w:val="21"/>
              <w:szCs w:val="21"/>
            </w:rPr>
            <w:t>3 详细设计说明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_Toc4144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C6B2DD9">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_Toc30984 </w:instrText>
          </w:r>
          <w:r>
            <w:rPr>
              <w:rFonts w:hint="eastAsia" w:ascii="宋体" w:hAnsi="宋体" w:eastAsia="宋体" w:cs="宋体"/>
              <w:sz w:val="21"/>
              <w:szCs w:val="21"/>
            </w:rPr>
            <w:fldChar w:fldCharType="separate"/>
          </w:r>
          <w:r>
            <w:rPr>
              <w:rFonts w:hint="eastAsia" w:ascii="宋体" w:hAnsi="宋体" w:eastAsia="宋体" w:cs="宋体"/>
              <w:sz w:val="21"/>
              <w:szCs w:val="21"/>
            </w:rPr>
            <w:t>3.1 系统结构设计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_Toc30984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FA9CC02">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_Toc22550 </w:instrText>
          </w:r>
          <w:r>
            <w:rPr>
              <w:rFonts w:hint="eastAsia" w:ascii="宋体" w:hAnsi="宋体" w:eastAsia="宋体" w:cs="宋体"/>
              <w:sz w:val="21"/>
              <w:szCs w:val="21"/>
            </w:rPr>
            <w:fldChar w:fldCharType="separate"/>
          </w:r>
          <w:r>
            <w:rPr>
              <w:rFonts w:hint="eastAsia" w:ascii="宋体" w:hAnsi="宋体" w:eastAsia="宋体" w:cs="宋体"/>
              <w:sz w:val="21"/>
              <w:szCs w:val="21"/>
            </w:rPr>
            <w:t>3.1.1 技术架构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_Toc22550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A86348A">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_Toc5272 </w:instrText>
          </w:r>
          <w:r>
            <w:rPr>
              <w:rFonts w:hint="eastAsia" w:ascii="宋体" w:hAnsi="宋体" w:eastAsia="宋体" w:cs="宋体"/>
              <w:sz w:val="21"/>
              <w:szCs w:val="21"/>
            </w:rPr>
            <w:fldChar w:fldCharType="separate"/>
          </w:r>
          <w:r>
            <w:rPr>
              <w:rFonts w:hint="eastAsia" w:ascii="宋体" w:hAnsi="宋体" w:eastAsia="宋体" w:cs="宋体"/>
              <w:sz w:val="21"/>
              <w:szCs w:val="21"/>
            </w:rPr>
            <w:t>3.1.2 功能模块设计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_Toc5272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CFB800C">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_Toc7871 </w:instrText>
          </w:r>
          <w:r>
            <w:rPr>
              <w:rFonts w:hint="eastAsia" w:ascii="宋体" w:hAnsi="宋体" w:eastAsia="宋体" w:cs="宋体"/>
              <w:sz w:val="21"/>
              <w:szCs w:val="21"/>
            </w:rPr>
            <w:fldChar w:fldCharType="separate"/>
          </w:r>
          <w:r>
            <w:rPr>
              <w:rFonts w:hint="eastAsia" w:ascii="宋体" w:hAnsi="宋体" w:eastAsia="宋体" w:cs="宋体"/>
              <w:sz w:val="21"/>
              <w:szCs w:val="21"/>
            </w:rPr>
            <w:t>3.1.3 关键功能/算法设计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_Toc7871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AAC6FF3">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_Toc6961 </w:instrText>
          </w:r>
          <w:r>
            <w:rPr>
              <w:rFonts w:hint="eastAsia" w:ascii="宋体" w:hAnsi="宋体" w:eastAsia="宋体" w:cs="宋体"/>
              <w:sz w:val="21"/>
              <w:szCs w:val="21"/>
            </w:rPr>
            <w:fldChar w:fldCharType="separate"/>
          </w:r>
          <w:r>
            <w:rPr>
              <w:rFonts w:hint="eastAsia" w:ascii="宋体" w:hAnsi="宋体" w:eastAsia="宋体" w:cs="宋体"/>
              <w:sz w:val="21"/>
              <w:szCs w:val="21"/>
            </w:rPr>
            <w:t>3.2 数据结构设计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_Toc6961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7F96BB8">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_Toc1880 </w:instrText>
          </w:r>
          <w:r>
            <w:rPr>
              <w:rFonts w:hint="eastAsia" w:ascii="宋体" w:hAnsi="宋体" w:eastAsia="宋体" w:cs="宋体"/>
              <w:sz w:val="21"/>
              <w:szCs w:val="21"/>
            </w:rPr>
            <w:fldChar w:fldCharType="separate"/>
          </w:r>
          <w:r>
            <w:rPr>
              <w:rFonts w:hint="eastAsia" w:ascii="宋体" w:hAnsi="宋体" w:eastAsia="宋体" w:cs="宋体"/>
              <w:sz w:val="21"/>
              <w:szCs w:val="21"/>
            </w:rPr>
            <w:t>3.2.1 存储数据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_Toc1880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08C2EC3">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_Toc18400 </w:instrText>
          </w:r>
          <w:r>
            <w:rPr>
              <w:rFonts w:hint="eastAsia" w:ascii="宋体" w:hAnsi="宋体" w:eastAsia="宋体" w:cs="宋体"/>
              <w:sz w:val="21"/>
              <w:szCs w:val="21"/>
            </w:rPr>
            <w:fldChar w:fldCharType="separate"/>
          </w:r>
          <w:r>
            <w:rPr>
              <w:rFonts w:hint="eastAsia" w:ascii="宋体" w:hAnsi="宋体" w:eastAsia="宋体" w:cs="宋体"/>
              <w:sz w:val="21"/>
              <w:szCs w:val="21"/>
            </w:rPr>
            <w:t>3.2.2 接口（模块接口、系统间接口）</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_Toc18400 \h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9CBE2C7">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_Toc15103 </w:instrText>
          </w:r>
          <w:r>
            <w:rPr>
              <w:rFonts w:hint="eastAsia" w:ascii="宋体" w:hAnsi="宋体" w:eastAsia="宋体" w:cs="宋体"/>
              <w:sz w:val="21"/>
              <w:szCs w:val="21"/>
            </w:rPr>
            <w:fldChar w:fldCharType="separate"/>
          </w:r>
          <w:r>
            <w:rPr>
              <w:rFonts w:hint="eastAsia" w:ascii="宋体" w:hAnsi="宋体" w:eastAsia="宋体" w:cs="宋体"/>
              <w:sz w:val="21"/>
              <w:szCs w:val="21"/>
            </w:rPr>
            <w:t>3.2.3 关键数据结构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_Toc15103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D96086E">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_Toc14441 </w:instrText>
          </w:r>
          <w:r>
            <w:rPr>
              <w:rFonts w:hint="eastAsia" w:ascii="宋体" w:hAnsi="宋体" w:eastAsia="宋体" w:cs="宋体"/>
              <w:sz w:val="21"/>
              <w:szCs w:val="21"/>
            </w:rPr>
            <w:fldChar w:fldCharType="separate"/>
          </w:r>
          <w:r>
            <w:rPr>
              <w:rFonts w:hint="eastAsia" w:ascii="宋体" w:hAnsi="宋体" w:eastAsia="宋体" w:cs="宋体"/>
              <w:sz w:val="21"/>
              <w:szCs w:val="21"/>
            </w:rPr>
            <w:t>3.3 系统界面设计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_Toc14441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ED44A2D">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_Toc7433 </w:instrText>
          </w:r>
          <w:r>
            <w:rPr>
              <w:rFonts w:hint="eastAsia" w:ascii="宋体" w:hAnsi="宋体" w:eastAsia="宋体" w:cs="宋体"/>
              <w:sz w:val="21"/>
              <w:szCs w:val="21"/>
            </w:rPr>
            <w:fldChar w:fldCharType="separate"/>
          </w:r>
          <w:r>
            <w:rPr>
              <w:rFonts w:hint="eastAsia" w:ascii="宋体" w:hAnsi="宋体" w:eastAsia="宋体" w:cs="宋体"/>
              <w:sz w:val="21"/>
              <w:szCs w:val="21"/>
            </w:rPr>
            <w:t>3.3.1 界面设计风格</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_Toc7433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71D39E">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_Toc29956 </w:instrText>
          </w:r>
          <w:r>
            <w:rPr>
              <w:rFonts w:hint="eastAsia" w:ascii="宋体" w:hAnsi="宋体" w:eastAsia="宋体" w:cs="宋体"/>
              <w:sz w:val="21"/>
              <w:szCs w:val="21"/>
            </w:rPr>
            <w:fldChar w:fldCharType="separate"/>
          </w:r>
          <w:r>
            <w:rPr>
              <w:rFonts w:hint="eastAsia" w:ascii="宋体" w:hAnsi="宋体" w:eastAsia="宋体" w:cs="宋体"/>
              <w:sz w:val="21"/>
              <w:szCs w:val="21"/>
            </w:rPr>
            <w:t>3.3.2 主要功能页面</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_Toc29956 \h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E075E56">
          <w:pPr>
            <w:pStyle w:val="9"/>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_Toc17970 </w:instrText>
          </w:r>
          <w:r>
            <w:rPr>
              <w:rFonts w:hint="eastAsia" w:ascii="宋体" w:hAnsi="宋体" w:eastAsia="宋体" w:cs="宋体"/>
              <w:sz w:val="21"/>
              <w:szCs w:val="21"/>
            </w:rPr>
            <w:fldChar w:fldCharType="separate"/>
          </w:r>
          <w:r>
            <w:rPr>
              <w:rFonts w:hint="eastAsia" w:ascii="宋体" w:hAnsi="宋体" w:eastAsia="宋体" w:cs="宋体"/>
              <w:sz w:val="21"/>
              <w:szCs w:val="21"/>
            </w:rPr>
            <w:t>3.3.3 Web网站页面结构设计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_Toc17970 \h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E3C7529">
          <w:pPr>
            <w:pStyle w:val="13"/>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_Toc18233 </w:instrText>
          </w:r>
          <w:r>
            <w:rPr>
              <w:rFonts w:hint="eastAsia" w:ascii="宋体" w:hAnsi="宋体" w:eastAsia="宋体" w:cs="宋体"/>
              <w:sz w:val="21"/>
              <w:szCs w:val="21"/>
            </w:rPr>
            <w:fldChar w:fldCharType="separate"/>
          </w:r>
          <w:r>
            <w:rPr>
              <w:rFonts w:hint="eastAsia" w:ascii="宋体" w:hAnsi="宋体" w:eastAsia="宋体" w:cs="宋体"/>
              <w:sz w:val="21"/>
              <w:szCs w:val="21"/>
            </w:rPr>
            <w:t>4 系统安装及使用说明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_Toc18233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32F7B97">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_Toc9886 </w:instrText>
          </w:r>
          <w:r>
            <w:rPr>
              <w:rFonts w:hint="eastAsia" w:ascii="宋体" w:hAnsi="宋体" w:eastAsia="宋体" w:cs="宋体"/>
              <w:sz w:val="21"/>
              <w:szCs w:val="21"/>
            </w:rPr>
            <w:fldChar w:fldCharType="separate"/>
          </w:r>
          <w:r>
            <w:rPr>
              <w:rFonts w:hint="eastAsia" w:ascii="宋体" w:hAnsi="宋体" w:eastAsia="宋体" w:cs="宋体"/>
              <w:sz w:val="21"/>
              <w:szCs w:val="21"/>
            </w:rPr>
            <w:t>4.1 运行环境及依赖准备</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_Toc9886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AF8B716">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_Toc24692 </w:instrText>
          </w:r>
          <w:r>
            <w:rPr>
              <w:rFonts w:hint="eastAsia" w:ascii="宋体" w:hAnsi="宋体" w:eastAsia="宋体" w:cs="宋体"/>
              <w:sz w:val="21"/>
              <w:szCs w:val="21"/>
            </w:rPr>
            <w:fldChar w:fldCharType="separate"/>
          </w:r>
          <w:r>
            <w:rPr>
              <w:rFonts w:hint="eastAsia" w:ascii="宋体" w:hAnsi="宋体" w:eastAsia="宋体" w:cs="宋体"/>
              <w:sz w:val="21"/>
              <w:szCs w:val="21"/>
            </w:rPr>
            <w:t>4.2 数据库部署与配置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_Toc24692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8CE61F3">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_Toc27797 </w:instrText>
          </w:r>
          <w:r>
            <w:rPr>
              <w:rFonts w:hint="eastAsia" w:ascii="宋体" w:hAnsi="宋体" w:eastAsia="宋体" w:cs="宋体"/>
              <w:sz w:val="21"/>
              <w:szCs w:val="21"/>
            </w:rPr>
            <w:fldChar w:fldCharType="separate"/>
          </w:r>
          <w:r>
            <w:rPr>
              <w:rFonts w:hint="eastAsia" w:ascii="宋体" w:hAnsi="宋体" w:eastAsia="宋体" w:cs="宋体"/>
              <w:sz w:val="21"/>
              <w:szCs w:val="21"/>
            </w:rPr>
            <w:t>4.3 后端服务部署</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_Toc27797 \h </w:instrText>
          </w:r>
          <w:r>
            <w:rPr>
              <w:rFonts w:hint="eastAsia" w:ascii="宋体" w:hAnsi="宋体" w:eastAsia="宋体" w:cs="宋体"/>
              <w:sz w:val="21"/>
              <w:szCs w:val="21"/>
            </w:rPr>
            <w:fldChar w:fldCharType="separate"/>
          </w:r>
          <w:r>
            <w:rPr>
              <w:rFonts w:hint="eastAsia" w:ascii="宋体" w:hAnsi="宋体" w:eastAsia="宋体" w:cs="宋体"/>
              <w:sz w:val="21"/>
              <w:szCs w:val="21"/>
            </w:rPr>
            <w:t>24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8302B0D">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_Toc5692 </w:instrText>
          </w:r>
          <w:r>
            <w:rPr>
              <w:rFonts w:hint="eastAsia" w:ascii="宋体" w:hAnsi="宋体" w:eastAsia="宋体" w:cs="宋体"/>
              <w:sz w:val="21"/>
              <w:szCs w:val="21"/>
            </w:rPr>
            <w:fldChar w:fldCharType="separate"/>
          </w:r>
          <w:r>
            <w:rPr>
              <w:rFonts w:hint="eastAsia" w:ascii="宋体" w:hAnsi="宋体" w:eastAsia="宋体" w:cs="宋体"/>
              <w:sz w:val="21"/>
              <w:szCs w:val="21"/>
            </w:rPr>
            <w:t>4.4 PC端前端部署</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_Toc5692 \h </w:instrText>
          </w:r>
          <w:r>
            <w:rPr>
              <w:rFonts w:hint="eastAsia" w:ascii="宋体" w:hAnsi="宋体" w:eastAsia="宋体" w:cs="宋体"/>
              <w:sz w:val="21"/>
              <w:szCs w:val="21"/>
            </w:rPr>
            <w:fldChar w:fldCharType="separate"/>
          </w:r>
          <w:r>
            <w:rPr>
              <w:rFonts w:hint="eastAsia" w:ascii="宋体" w:hAnsi="宋体" w:eastAsia="宋体" w:cs="宋体"/>
              <w:sz w:val="21"/>
              <w:szCs w:val="21"/>
            </w:rPr>
            <w:t>24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C992E52">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_Toc32344 </w:instrText>
          </w:r>
          <w:r>
            <w:rPr>
              <w:rFonts w:hint="eastAsia" w:ascii="宋体" w:hAnsi="宋体" w:eastAsia="宋体" w:cs="宋体"/>
              <w:sz w:val="21"/>
              <w:szCs w:val="21"/>
            </w:rPr>
            <w:fldChar w:fldCharType="separate"/>
          </w:r>
          <w:r>
            <w:rPr>
              <w:rFonts w:hint="eastAsia" w:ascii="宋体" w:hAnsi="宋体" w:eastAsia="宋体" w:cs="宋体"/>
              <w:sz w:val="21"/>
              <w:szCs w:val="21"/>
            </w:rPr>
            <w:t>4.5 小程序端部署</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_Toc32344 \h </w:instrText>
          </w:r>
          <w:r>
            <w:rPr>
              <w:rFonts w:hint="eastAsia" w:ascii="宋体" w:hAnsi="宋体" w:eastAsia="宋体" w:cs="宋体"/>
              <w:sz w:val="21"/>
              <w:szCs w:val="21"/>
            </w:rPr>
            <w:fldChar w:fldCharType="separate"/>
          </w:r>
          <w:r>
            <w:rPr>
              <w:rFonts w:hint="eastAsia" w:ascii="宋体" w:hAnsi="宋体" w:eastAsia="宋体" w:cs="宋体"/>
              <w:sz w:val="21"/>
              <w:szCs w:val="21"/>
            </w:rPr>
            <w:t>24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AAE2C68">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_Toc26940 </w:instrText>
          </w:r>
          <w:r>
            <w:rPr>
              <w:rFonts w:hint="eastAsia" w:ascii="宋体" w:hAnsi="宋体" w:eastAsia="宋体" w:cs="宋体"/>
              <w:sz w:val="21"/>
              <w:szCs w:val="21"/>
            </w:rPr>
            <w:fldChar w:fldCharType="separate"/>
          </w:r>
          <w:r>
            <w:rPr>
              <w:rFonts w:hint="eastAsia" w:ascii="宋体" w:hAnsi="宋体" w:eastAsia="宋体" w:cs="宋体"/>
              <w:sz w:val="21"/>
              <w:szCs w:val="21"/>
            </w:rPr>
            <w:t>4.6 系统使用说明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_Toc26940 \h </w:instrText>
          </w:r>
          <w:r>
            <w:rPr>
              <w:rFonts w:hint="eastAsia" w:ascii="宋体" w:hAnsi="宋体" w:eastAsia="宋体" w:cs="宋体"/>
              <w:sz w:val="21"/>
              <w:szCs w:val="21"/>
            </w:rPr>
            <w:fldChar w:fldCharType="separate"/>
          </w:r>
          <w:r>
            <w:rPr>
              <w:rFonts w:hint="eastAsia" w:ascii="宋体" w:hAnsi="宋体" w:eastAsia="宋体" w:cs="宋体"/>
              <w:sz w:val="21"/>
              <w:szCs w:val="21"/>
            </w:rPr>
            <w:t>25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4341426">
          <w:pPr>
            <w:pStyle w:val="13"/>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_Toc1937 </w:instrText>
          </w:r>
          <w:r>
            <w:rPr>
              <w:rFonts w:hint="eastAsia" w:ascii="宋体" w:hAnsi="宋体" w:eastAsia="宋体" w:cs="宋体"/>
              <w:sz w:val="21"/>
              <w:szCs w:val="21"/>
            </w:rPr>
            <w:fldChar w:fldCharType="separate"/>
          </w:r>
          <w:r>
            <w:rPr>
              <w:rFonts w:hint="eastAsia" w:ascii="宋体" w:hAnsi="宋体" w:eastAsia="宋体" w:cs="宋体"/>
              <w:sz w:val="21"/>
              <w:szCs w:val="21"/>
            </w:rPr>
            <w:t>5 总结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_Toc1937 \h </w:instrText>
          </w:r>
          <w:r>
            <w:rPr>
              <w:rFonts w:hint="eastAsia" w:ascii="宋体" w:hAnsi="宋体" w:eastAsia="宋体" w:cs="宋体"/>
              <w:sz w:val="21"/>
              <w:szCs w:val="21"/>
            </w:rPr>
            <w:fldChar w:fldCharType="separate"/>
          </w:r>
          <w:r>
            <w:rPr>
              <w:rFonts w:hint="eastAsia" w:ascii="宋体" w:hAnsi="宋体" w:eastAsia="宋体" w:cs="宋体"/>
              <w:sz w:val="21"/>
              <w:szCs w:val="21"/>
            </w:rPr>
            <w:t>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3D7DC14">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_Toc30080 </w:instrText>
          </w:r>
          <w:r>
            <w:rPr>
              <w:rFonts w:hint="eastAsia" w:ascii="宋体" w:hAnsi="宋体" w:eastAsia="宋体" w:cs="宋体"/>
              <w:sz w:val="21"/>
              <w:szCs w:val="21"/>
            </w:rPr>
            <w:fldChar w:fldCharType="separate"/>
          </w:r>
          <w:r>
            <w:rPr>
              <w:rFonts w:hint="eastAsia" w:ascii="宋体" w:hAnsi="宋体" w:eastAsia="宋体" w:cs="宋体"/>
              <w:sz w:val="21"/>
              <w:szCs w:val="21"/>
            </w:rPr>
            <w:t>5.1 作品创意总结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_Toc30080 \h </w:instrText>
          </w:r>
          <w:r>
            <w:rPr>
              <w:rFonts w:hint="eastAsia" w:ascii="宋体" w:hAnsi="宋体" w:eastAsia="宋体" w:cs="宋体"/>
              <w:sz w:val="21"/>
              <w:szCs w:val="21"/>
            </w:rPr>
            <w:fldChar w:fldCharType="separate"/>
          </w:r>
          <w:r>
            <w:rPr>
              <w:rFonts w:hint="eastAsia" w:ascii="宋体" w:hAnsi="宋体" w:eastAsia="宋体" w:cs="宋体"/>
              <w:sz w:val="21"/>
              <w:szCs w:val="21"/>
            </w:rPr>
            <w:t>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A2CFCB4">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_Toc24346 </w:instrText>
          </w:r>
          <w:r>
            <w:rPr>
              <w:rFonts w:hint="eastAsia" w:ascii="宋体" w:hAnsi="宋体" w:eastAsia="宋体" w:cs="宋体"/>
              <w:sz w:val="21"/>
              <w:szCs w:val="21"/>
            </w:rPr>
            <w:fldChar w:fldCharType="separate"/>
          </w:r>
          <w:r>
            <w:rPr>
              <w:rFonts w:hint="eastAsia" w:ascii="宋体" w:hAnsi="宋体" w:eastAsia="宋体" w:cs="宋体"/>
              <w:sz w:val="21"/>
              <w:szCs w:val="21"/>
            </w:rPr>
            <w:t>5.2 开发实现总结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_Toc24346 \h </w:instrText>
          </w:r>
          <w:r>
            <w:rPr>
              <w:rFonts w:hint="eastAsia" w:ascii="宋体" w:hAnsi="宋体" w:eastAsia="宋体" w:cs="宋体"/>
              <w:sz w:val="21"/>
              <w:szCs w:val="21"/>
            </w:rPr>
            <w:fldChar w:fldCharType="separate"/>
          </w:r>
          <w:r>
            <w:rPr>
              <w:rFonts w:hint="eastAsia" w:ascii="宋体" w:hAnsi="宋体" w:eastAsia="宋体" w:cs="宋体"/>
              <w:sz w:val="21"/>
              <w:szCs w:val="21"/>
            </w:rPr>
            <w:t>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C05C88F">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_Toc7562 </w:instrText>
          </w:r>
          <w:r>
            <w:rPr>
              <w:rFonts w:hint="eastAsia" w:ascii="宋体" w:hAnsi="宋体" w:eastAsia="宋体" w:cs="宋体"/>
              <w:sz w:val="21"/>
              <w:szCs w:val="21"/>
            </w:rPr>
            <w:fldChar w:fldCharType="separate"/>
          </w:r>
          <w:r>
            <w:rPr>
              <w:rFonts w:hint="eastAsia" w:ascii="宋体" w:hAnsi="宋体" w:eastAsia="宋体" w:cs="宋体"/>
              <w:sz w:val="21"/>
              <w:szCs w:val="21"/>
            </w:rPr>
            <w:t>5.3 改进方向</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_Toc7562 \h </w:instrText>
          </w:r>
          <w:r>
            <w:rPr>
              <w:rFonts w:hint="eastAsia" w:ascii="宋体" w:hAnsi="宋体" w:eastAsia="宋体" w:cs="宋体"/>
              <w:sz w:val="21"/>
              <w:szCs w:val="21"/>
            </w:rPr>
            <w:fldChar w:fldCharType="separate"/>
          </w:r>
          <w:r>
            <w:rPr>
              <w:rFonts w:hint="eastAsia" w:ascii="宋体" w:hAnsi="宋体" w:eastAsia="宋体" w:cs="宋体"/>
              <w:sz w:val="21"/>
              <w:szCs w:val="21"/>
            </w:rPr>
            <w:t>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8AC7B1B">
          <w:pPr>
            <w:pStyle w:val="13"/>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_Toc28725 </w:instrText>
          </w:r>
          <w:r>
            <w:rPr>
              <w:rFonts w:hint="eastAsia" w:ascii="宋体" w:hAnsi="宋体" w:eastAsia="宋体" w:cs="宋体"/>
              <w:sz w:val="21"/>
              <w:szCs w:val="21"/>
            </w:rPr>
            <w:fldChar w:fldCharType="separate"/>
          </w:r>
          <w:r>
            <w:rPr>
              <w:rFonts w:hint="eastAsia" w:ascii="宋体" w:hAnsi="宋体" w:eastAsia="宋体" w:cs="宋体"/>
              <w:sz w:val="21"/>
              <w:szCs w:val="21"/>
            </w:rPr>
            <w:t>6 附录</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_Toc28725 \h </w:instrText>
          </w:r>
          <w:r>
            <w:rPr>
              <w:rFonts w:hint="eastAsia" w:ascii="宋体" w:hAnsi="宋体" w:eastAsia="宋体" w:cs="宋体"/>
              <w:sz w:val="21"/>
              <w:szCs w:val="21"/>
            </w:rPr>
            <w:fldChar w:fldCharType="separate"/>
          </w:r>
          <w:r>
            <w:rPr>
              <w:rFonts w:hint="eastAsia" w:ascii="宋体" w:hAnsi="宋体" w:eastAsia="宋体" w:cs="宋体"/>
              <w:sz w:val="21"/>
              <w:szCs w:val="21"/>
            </w:rPr>
            <w:t>27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E8B7FA7">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_Toc3888 </w:instrText>
          </w:r>
          <w:r>
            <w:rPr>
              <w:rFonts w:hint="eastAsia" w:ascii="宋体" w:hAnsi="宋体" w:eastAsia="宋体" w:cs="宋体"/>
              <w:sz w:val="21"/>
              <w:szCs w:val="21"/>
            </w:rPr>
            <w:fldChar w:fldCharType="separate"/>
          </w:r>
          <w:r>
            <w:rPr>
              <w:rFonts w:hint="eastAsia" w:ascii="宋体" w:hAnsi="宋体" w:eastAsia="宋体" w:cs="宋体"/>
              <w:sz w:val="21"/>
              <w:szCs w:val="21"/>
            </w:rPr>
            <w:t>6.1 名词定义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_Toc3888 \h </w:instrText>
          </w:r>
          <w:r>
            <w:rPr>
              <w:rFonts w:hint="eastAsia" w:ascii="宋体" w:hAnsi="宋体" w:eastAsia="宋体" w:cs="宋体"/>
              <w:sz w:val="21"/>
              <w:szCs w:val="21"/>
            </w:rPr>
            <w:fldChar w:fldCharType="separate"/>
          </w:r>
          <w:r>
            <w:rPr>
              <w:rFonts w:hint="eastAsia" w:ascii="宋体" w:hAnsi="宋体" w:eastAsia="宋体" w:cs="宋体"/>
              <w:sz w:val="21"/>
              <w:szCs w:val="21"/>
            </w:rPr>
            <w:t>27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98F5BAE">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_Toc27256 </w:instrText>
          </w:r>
          <w:r>
            <w:rPr>
              <w:rFonts w:hint="eastAsia" w:ascii="宋体" w:hAnsi="宋体" w:eastAsia="宋体" w:cs="宋体"/>
              <w:sz w:val="21"/>
              <w:szCs w:val="21"/>
            </w:rPr>
            <w:fldChar w:fldCharType="separate"/>
          </w:r>
          <w:r>
            <w:rPr>
              <w:rFonts w:hint="eastAsia" w:ascii="宋体" w:hAnsi="宋体" w:eastAsia="宋体" w:cs="宋体"/>
              <w:sz w:val="21"/>
              <w:szCs w:val="21"/>
            </w:rPr>
            <w:t>6.2 参考资料</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_Toc27256 \h </w:instrText>
          </w:r>
          <w:r>
            <w:rPr>
              <w:rFonts w:hint="eastAsia" w:ascii="宋体" w:hAnsi="宋体" w:eastAsia="宋体" w:cs="宋体"/>
              <w:sz w:val="21"/>
              <w:szCs w:val="21"/>
            </w:rPr>
            <w:fldChar w:fldCharType="separate"/>
          </w:r>
          <w:r>
            <w:rPr>
              <w:rFonts w:hint="eastAsia" w:ascii="宋体" w:hAnsi="宋体" w:eastAsia="宋体" w:cs="宋体"/>
              <w:sz w:val="21"/>
              <w:szCs w:val="21"/>
            </w:rPr>
            <w:t>27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A439425">
          <w:pPr>
            <w:pStyle w:val="1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_Toc30826 </w:instrText>
          </w:r>
          <w:r>
            <w:rPr>
              <w:rFonts w:hint="eastAsia" w:ascii="宋体" w:hAnsi="宋体" w:eastAsia="宋体" w:cs="宋体"/>
              <w:sz w:val="21"/>
              <w:szCs w:val="21"/>
            </w:rPr>
            <w:fldChar w:fldCharType="separate"/>
          </w:r>
          <w:r>
            <w:rPr>
              <w:rFonts w:hint="eastAsia" w:ascii="宋体" w:hAnsi="宋体" w:eastAsia="宋体" w:cs="宋体"/>
              <w:sz w:val="21"/>
              <w:szCs w:val="21"/>
            </w:rPr>
            <w:t>6.3 源代码清单</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_Toc30826 \h </w:instrText>
          </w:r>
          <w:r>
            <w:rPr>
              <w:rFonts w:hint="eastAsia" w:ascii="宋体" w:hAnsi="宋体" w:eastAsia="宋体" w:cs="宋体"/>
              <w:sz w:val="21"/>
              <w:szCs w:val="21"/>
            </w:rPr>
            <w:fldChar w:fldCharType="separate"/>
          </w:r>
          <w:r>
            <w:rPr>
              <w:rFonts w:hint="eastAsia" w:ascii="宋体" w:hAnsi="宋体" w:eastAsia="宋体" w:cs="宋体"/>
              <w:sz w:val="21"/>
              <w:szCs w:val="21"/>
            </w:rPr>
            <w:t>27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1C5856A">
          <w:pPr>
            <w:rPr>
              <w:rFonts w:hint="eastAsia" w:ascii="宋体" w:hAnsi="宋体" w:eastAsia="宋体" w:cs="宋体"/>
              <w:sz w:val="21"/>
              <w:szCs w:val="21"/>
            </w:rPr>
            <w:sectPr>
              <w:headerReference r:id="rId3" w:type="default"/>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eastAsia" w:ascii="宋体" w:hAnsi="宋体" w:eastAsia="宋体" w:cs="宋体"/>
              <w:sz w:val="21"/>
              <w:szCs w:val="21"/>
            </w:rPr>
            <w:fldChar w:fldCharType="end"/>
          </w:r>
        </w:p>
      </w:sdtContent>
    </w:sdt>
    <w:p w14:paraId="10E492A6">
      <w:pPr>
        <w:pStyle w:val="2"/>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32"/>
          <w:szCs w:val="32"/>
        </w:rPr>
      </w:pPr>
      <w:bookmarkStart w:id="0" w:name="_Toc30580"/>
      <w:r>
        <w:rPr>
          <w:rFonts w:hint="eastAsia" w:ascii="黑体" w:hAnsi="黑体" w:eastAsia="黑体" w:cs="黑体"/>
          <w:sz w:val="32"/>
          <w:szCs w:val="32"/>
        </w:rPr>
        <w:t>1 简介</w:t>
      </w:r>
      <w:bookmarkEnd w:id="0"/>
    </w:p>
    <w:p w14:paraId="10345943">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1" w:name="_Toc29279"/>
      <w:r>
        <w:rPr>
          <w:rFonts w:hint="eastAsia" w:ascii="黑体" w:hAnsi="黑体" w:eastAsia="黑体" w:cs="黑体"/>
          <w:sz w:val="24"/>
          <w:szCs w:val="24"/>
        </w:rPr>
        <w:t>1.1 项目背景</w:t>
      </w:r>
      <w:bookmarkEnd w:id="1"/>
    </w:p>
    <w:p w14:paraId="515F5B0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随着"双碳"战略的深入推进和新型电力系统建设的加速，分布式储能系统在工商业领域的应用规模持续扩大。储能电池作为系统核心部件，其健康状态（SOH）和剩余使用寿命（RUL）直接关系到系统的安全性、经济性和减碳效益。然而，传统的电池运维模式存在以下痛点：</w:t>
      </w:r>
    </w:p>
    <w:p w14:paraId="3B4632E2">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（1）监测滞后：依赖人工定期巡检，故障发现不及时，容易造成安全隐患；</w:t>
      </w:r>
    </w:p>
    <w:p w14:paraId="435DEBA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（2）预测能力不足：缺乏有效的电池寿命预测手段，难以实现预测性维护；</w:t>
      </w:r>
    </w:p>
    <w:p w14:paraId="0236A79A">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（3）运维效率低：工单流转依赖人工协调，响应速度慢，处理闭环难以保证；</w:t>
      </w:r>
    </w:p>
    <w:p w14:paraId="090639F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（4）减碳效益难量化：电池延寿带来的碳减排贡献缺乏科学核算方法。</w:t>
      </w:r>
    </w:p>
    <w:p w14:paraId="713DC6A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基于上述背景，本团队研发了"慧管电池——分布式储能柜电池性能监测与智能预测系统"，旨在通过人工智能技术实现电池健康状态的精准预测、运维工单的智能派发以及减碳效益的科学核算，帮助储能运维从"被动响应"转向"主动预测"，提升系统安全性和经济效益。</w:t>
      </w:r>
    </w:p>
    <w:p w14:paraId="4064955F">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2" w:name="_Toc30958"/>
      <w:r>
        <w:rPr>
          <w:rFonts w:hint="eastAsia" w:ascii="黑体" w:hAnsi="黑体" w:eastAsia="黑体" w:cs="黑体"/>
          <w:sz w:val="24"/>
          <w:szCs w:val="24"/>
        </w:rPr>
        <w:t>1.2 项目实施计划</w:t>
      </w:r>
      <w:bookmarkEnd w:id="2"/>
    </w:p>
    <w:p w14:paraId="16DB09BE">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本项目于2025年12月启动，计划于2026年4月完成。项目团队由3名成员组成，具体分工如下：</w:t>
      </w:r>
    </w:p>
    <w:p w14:paraId="1FE83960">
      <w:pPr>
        <w:pStyle w:val="8"/>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项目人员分工表</w:t>
      </w:r>
    </w:p>
    <w:tbl>
      <w:tblPr>
        <w:tblStyle w:val="20"/>
        <w:tblW w:w="9090" w:type="dxa"/>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5"/>
        <w:gridCol w:w="2273"/>
        <w:gridCol w:w="5332"/>
      </w:tblGrid>
      <w:tr w14:paraId="48B1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5" w:type="dxa"/>
            <w:tcBorders>
              <w:top w:val="single" w:color="000000" w:sz="0" w:space="0"/>
              <w:left w:val="single" w:color="000000" w:sz="0" w:space="0"/>
              <w:bottom w:val="single" w:color="000000" w:sz="0" w:space="0"/>
              <w:right w:val="single" w:color="000000" w:sz="0" w:space="0"/>
            </w:tcBorders>
            <w:shd w:val="clear" w:color="auto" w:fill="D9E2F3"/>
            <w:tcMar>
              <w:top w:w="80" w:type="dxa"/>
              <w:left w:w="120" w:type="dxa"/>
              <w:bottom w:w="80" w:type="dxa"/>
              <w:right w:w="120" w:type="dxa"/>
            </w:tcMar>
          </w:tcPr>
          <w:p w14:paraId="5D3BF91A">
            <w:pPr>
              <w:keepNext w:val="0"/>
              <w:keepLines w:val="0"/>
              <w:pageBreakBefore w:val="0"/>
              <w:widowControl w:val="0"/>
              <w:kinsoku/>
              <w:wordWrap/>
              <w:overflowPunct/>
              <w:topLinePunct w:val="0"/>
              <w:autoSpaceDE/>
              <w:autoSpaceDN/>
              <w:bidi w:val="0"/>
              <w:adjustRightInd/>
              <w:spacing w:line="240" w:lineRule="auto"/>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rPr>
              <w:t>成员</w:t>
            </w:r>
          </w:p>
        </w:tc>
        <w:tc>
          <w:tcPr>
            <w:tcW w:w="2273" w:type="dxa"/>
            <w:tcBorders>
              <w:top w:val="single" w:color="000000" w:sz="0" w:space="0"/>
              <w:left w:val="single" w:color="000000" w:sz="0" w:space="0"/>
              <w:bottom w:val="single" w:color="000000" w:sz="0" w:space="0"/>
              <w:right w:val="single" w:color="000000" w:sz="0" w:space="0"/>
            </w:tcBorders>
            <w:shd w:val="clear" w:color="auto" w:fill="D9E2F3"/>
            <w:tcMar>
              <w:top w:w="80" w:type="dxa"/>
              <w:left w:w="120" w:type="dxa"/>
              <w:bottom w:w="80" w:type="dxa"/>
              <w:right w:w="120" w:type="dxa"/>
            </w:tcMar>
          </w:tcPr>
          <w:p w14:paraId="6DC8C5EB">
            <w:pPr>
              <w:keepNext w:val="0"/>
              <w:keepLines w:val="0"/>
              <w:pageBreakBefore w:val="0"/>
              <w:widowControl w:val="0"/>
              <w:kinsoku/>
              <w:wordWrap/>
              <w:overflowPunct/>
              <w:topLinePunct w:val="0"/>
              <w:autoSpaceDE/>
              <w:autoSpaceDN/>
              <w:bidi w:val="0"/>
              <w:adjustRightInd/>
              <w:spacing w:line="240" w:lineRule="auto"/>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rPr>
              <w:t>职责</w:t>
            </w:r>
          </w:p>
        </w:tc>
        <w:tc>
          <w:tcPr>
            <w:tcW w:w="5332" w:type="dxa"/>
            <w:tcBorders>
              <w:top w:val="single" w:color="000000" w:sz="0" w:space="0"/>
              <w:left w:val="single" w:color="000000" w:sz="0" w:space="0"/>
              <w:bottom w:val="single" w:color="000000" w:sz="0" w:space="0"/>
              <w:right w:val="single" w:color="000000" w:sz="0" w:space="0"/>
            </w:tcBorders>
            <w:shd w:val="clear" w:color="auto" w:fill="D9E2F3"/>
            <w:tcMar>
              <w:top w:w="80" w:type="dxa"/>
              <w:left w:w="120" w:type="dxa"/>
              <w:bottom w:w="80" w:type="dxa"/>
              <w:right w:w="120" w:type="dxa"/>
            </w:tcMar>
          </w:tcPr>
          <w:p w14:paraId="7BDB25A6">
            <w:pPr>
              <w:keepNext w:val="0"/>
              <w:keepLines w:val="0"/>
              <w:pageBreakBefore w:val="0"/>
              <w:widowControl w:val="0"/>
              <w:kinsoku/>
              <w:wordWrap/>
              <w:overflowPunct/>
              <w:topLinePunct w:val="0"/>
              <w:autoSpaceDE/>
              <w:autoSpaceDN/>
              <w:bidi w:val="0"/>
              <w:adjustRightInd/>
              <w:spacing w:line="240" w:lineRule="auto"/>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rPr>
              <w:t>主要工作内容</w:t>
            </w:r>
          </w:p>
        </w:tc>
      </w:tr>
      <w:tr w14:paraId="1F9C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0CD269">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吴冰玉</w:t>
            </w:r>
          </w:p>
        </w:tc>
        <w:tc>
          <w:tcPr>
            <w:tcW w:w="227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F18A75">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PC端开发、系统架构</w:t>
            </w:r>
          </w:p>
        </w:tc>
        <w:tc>
          <w:tcPr>
            <w:tcW w:w="533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71B8B2">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可视化大屏、工单系统、数据管理、减碳核算模块开发设计</w:t>
            </w:r>
            <w:r>
              <w:rPr>
                <w:rFonts w:hint="eastAsia" w:cs="宋体"/>
                <w:b w:val="0"/>
                <w:bCs w:val="0"/>
                <w:sz w:val="21"/>
                <w:szCs w:val="21"/>
                <w:lang w:eastAsia="zh-CN"/>
              </w:rPr>
              <w:t>、</w:t>
            </w:r>
            <w:r>
              <w:rPr>
                <w:rFonts w:hint="eastAsia" w:ascii="宋体" w:hAnsi="宋体" w:eastAsia="宋体" w:cs="宋体"/>
                <w:b w:val="0"/>
                <w:bCs w:val="0"/>
                <w:sz w:val="21"/>
                <w:szCs w:val="21"/>
              </w:rPr>
              <w:t>文档撰写、</w:t>
            </w:r>
          </w:p>
        </w:tc>
      </w:tr>
      <w:tr w14:paraId="6B26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ECD2C9">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赵世越</w:t>
            </w:r>
          </w:p>
        </w:tc>
        <w:tc>
          <w:tcPr>
            <w:tcW w:w="227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102DF1">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移动端开发</w:t>
            </w:r>
          </w:p>
        </w:tc>
        <w:tc>
          <w:tcPr>
            <w:tcW w:w="533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B38E26">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UniApp小程序端开发，包括预测功能、告警管理、工单处理等模块</w:t>
            </w:r>
          </w:p>
        </w:tc>
      </w:tr>
      <w:tr w14:paraId="20B7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5"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B56B49">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计雯婷</w:t>
            </w:r>
          </w:p>
        </w:tc>
        <w:tc>
          <w:tcPr>
            <w:tcW w:w="227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45F05F">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测试与文档</w:t>
            </w:r>
          </w:p>
        </w:tc>
        <w:tc>
          <w:tcPr>
            <w:tcW w:w="533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942ADF">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系统功能测试、用户手册编写、演示视频制作</w:t>
            </w:r>
          </w:p>
        </w:tc>
      </w:tr>
    </w:tbl>
    <w:p w14:paraId="73A9938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项目实施进度安排如下表所示：</w:t>
      </w:r>
    </w:p>
    <w:p w14:paraId="0F6EEA58">
      <w:pPr>
        <w:pStyle w:val="8"/>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项目进度安排表</w:t>
      </w:r>
    </w:p>
    <w:tbl>
      <w:tblPr>
        <w:tblStyle w:val="20"/>
        <w:tblW w:w="9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5599"/>
      </w:tblGrid>
      <w:tr w14:paraId="586C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80" w:type="dxa"/>
              <w:left w:w="120" w:type="dxa"/>
              <w:bottom w:w="80" w:type="dxa"/>
              <w:right w:w="120" w:type="dxa"/>
            </w:tcMar>
          </w:tcPr>
          <w:p w14:paraId="264F387B">
            <w:pPr>
              <w:keepNext w:val="0"/>
              <w:keepLines w:val="0"/>
              <w:pageBreakBefore w:val="0"/>
              <w:widowControl w:val="0"/>
              <w:kinsoku/>
              <w:wordWrap/>
              <w:overflowPunct/>
              <w:topLinePunct w:val="0"/>
              <w:autoSpaceDE/>
              <w:autoSpaceDN/>
              <w:bidi w:val="0"/>
              <w:adjustRightInd/>
              <w:spacing w:line="240" w:lineRule="auto"/>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rPr>
              <w:t>阶段</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80" w:type="dxa"/>
              <w:left w:w="120" w:type="dxa"/>
              <w:bottom w:w="80" w:type="dxa"/>
              <w:right w:w="120" w:type="dxa"/>
            </w:tcMar>
          </w:tcPr>
          <w:p w14:paraId="64965D92">
            <w:pPr>
              <w:keepNext w:val="0"/>
              <w:keepLines w:val="0"/>
              <w:pageBreakBefore w:val="0"/>
              <w:widowControl w:val="0"/>
              <w:kinsoku/>
              <w:wordWrap/>
              <w:overflowPunct/>
              <w:topLinePunct w:val="0"/>
              <w:autoSpaceDE/>
              <w:autoSpaceDN/>
              <w:bidi w:val="0"/>
              <w:adjustRightInd/>
              <w:spacing w:line="240" w:lineRule="auto"/>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rPr>
              <w:t>时间</w:t>
            </w:r>
          </w:p>
        </w:tc>
        <w:tc>
          <w:tcPr>
            <w:tcW w:w="5599" w:type="dxa"/>
            <w:tcBorders>
              <w:top w:val="single" w:color="000000" w:sz="0" w:space="0"/>
              <w:left w:val="single" w:color="000000" w:sz="0" w:space="0"/>
              <w:bottom w:val="single" w:color="000000" w:sz="0" w:space="0"/>
              <w:right w:val="single" w:color="000000" w:sz="0" w:space="0"/>
            </w:tcBorders>
            <w:shd w:val="clear" w:color="auto" w:fill="D9E2F3"/>
            <w:tcMar>
              <w:top w:w="80" w:type="dxa"/>
              <w:left w:w="120" w:type="dxa"/>
              <w:bottom w:w="80" w:type="dxa"/>
              <w:right w:w="120" w:type="dxa"/>
            </w:tcMar>
          </w:tcPr>
          <w:p w14:paraId="260F5BC5">
            <w:pPr>
              <w:keepNext w:val="0"/>
              <w:keepLines w:val="0"/>
              <w:pageBreakBefore w:val="0"/>
              <w:widowControl w:val="0"/>
              <w:kinsoku/>
              <w:wordWrap/>
              <w:overflowPunct/>
              <w:topLinePunct w:val="0"/>
              <w:autoSpaceDE/>
              <w:autoSpaceDN/>
              <w:bidi w:val="0"/>
              <w:adjustRightInd/>
              <w:spacing w:line="240" w:lineRule="auto"/>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rPr>
              <w:t>主要任务</w:t>
            </w:r>
          </w:p>
        </w:tc>
      </w:tr>
      <w:tr w14:paraId="613E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EA4BEB">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需求分析</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14404A">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2025.12</w:t>
            </w:r>
          </w:p>
        </w:tc>
        <w:tc>
          <w:tcPr>
            <w:tcW w:w="559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934075">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调研储能行业痛点，明确系统功能需求，完成技术选型</w:t>
            </w:r>
          </w:p>
        </w:tc>
      </w:tr>
      <w:tr w14:paraId="1E91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A265C9">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系统设计</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222421">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2026.01</w:t>
            </w:r>
          </w:p>
        </w:tc>
        <w:tc>
          <w:tcPr>
            <w:tcW w:w="559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9B9B41">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完成系统架构设计、数据库设计、接口设计、UI原型设计</w:t>
            </w:r>
          </w:p>
        </w:tc>
      </w:tr>
      <w:tr w14:paraId="2DFF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584C09">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核心开发</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CC8C90">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2026.01-03</w:t>
            </w:r>
          </w:p>
        </w:tc>
        <w:tc>
          <w:tcPr>
            <w:tcW w:w="559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401C5D">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完成PC端和移动端核心功能开发，集成AI预测模型</w:t>
            </w:r>
          </w:p>
        </w:tc>
      </w:tr>
      <w:tr w14:paraId="0176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ED1FB9F">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测试优化</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073E16">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2026.03-04</w:t>
            </w:r>
          </w:p>
        </w:tc>
        <w:tc>
          <w:tcPr>
            <w:tcW w:w="5599"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9D807AA">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系统联调测试、性能优化、Bug修复、文档完善</w:t>
            </w:r>
          </w:p>
        </w:tc>
      </w:tr>
    </w:tbl>
    <w:p w14:paraId="4A5B3862">
      <w:pPr>
        <w:keepNext w:val="0"/>
        <w:keepLines w:val="0"/>
        <w:pageBreakBefore w:val="0"/>
        <w:widowControl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br w:type="page"/>
      </w:r>
    </w:p>
    <w:p w14:paraId="32494ED5">
      <w:pPr>
        <w:pStyle w:val="2"/>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32"/>
          <w:szCs w:val="32"/>
        </w:rPr>
      </w:pPr>
      <w:bookmarkStart w:id="3" w:name="_Toc15550"/>
      <w:r>
        <w:rPr>
          <w:rFonts w:hint="eastAsia" w:ascii="黑体" w:hAnsi="黑体" w:eastAsia="黑体" w:cs="黑体"/>
          <w:sz w:val="32"/>
          <w:szCs w:val="32"/>
        </w:rPr>
        <w:t>2 总体设计</w:t>
      </w:r>
      <w:bookmarkEnd w:id="3"/>
    </w:p>
    <w:p w14:paraId="43114B7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本章对系统实现的功能、开发技术和应用环境进行介绍。储能柜在实际落地时，往往呈现跨园区、地理位置极度分散的特点。考虑到底层硬件每秒都会向上游抛出海量的状态数据</w:t>
      </w:r>
      <w:r>
        <w:rPr>
          <w:rFonts w:hint="eastAsia" w:ascii="宋体" w:hAnsi="宋体" w:eastAsia="宋体" w:cs="宋体"/>
          <w:sz w:val="21"/>
          <w:szCs w:val="21"/>
          <w:lang w:eastAsia="zh-CN"/>
        </w:rPr>
        <w:t>。</w:t>
      </w:r>
      <w:r>
        <w:rPr>
          <w:rFonts w:hint="eastAsia" w:ascii="宋体" w:hAnsi="宋体" w:eastAsia="宋体" w:cs="宋体"/>
          <w:sz w:val="21"/>
          <w:szCs w:val="21"/>
        </w:rPr>
        <w:t>显然，传统的单体服务框架面对这种“高频写入+重度计算”的双重夹击，极易在实盘运行中遭遇性能瓶颈。为了打破这一僵局，本团队在系统蓝图设计阶段，就果断落实了前后端彻底分离的策略。说到底，这种多层级的分发过滤机制，不仅是为了替主控服务器挡住瞬时</w:t>
      </w:r>
      <w:r>
        <w:rPr>
          <w:rFonts w:hint="eastAsia" w:cs="宋体"/>
          <w:sz w:val="21"/>
          <w:szCs w:val="21"/>
          <w:lang w:val="en-US" w:eastAsia="zh-CN"/>
        </w:rPr>
        <w:t>大量API请求</w:t>
      </w:r>
      <w:r>
        <w:rPr>
          <w:rFonts w:hint="eastAsia" w:ascii="宋体" w:hAnsi="宋体" w:eastAsia="宋体" w:cs="宋体"/>
          <w:sz w:val="21"/>
          <w:szCs w:val="21"/>
        </w:rPr>
        <w:t>，更是为了给未来接入更多园区节点预留出充足的弹性扩容空间。</w:t>
      </w:r>
    </w:p>
    <w:p w14:paraId="2DDCCE83">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4" w:name="_Toc29317"/>
      <w:r>
        <w:rPr>
          <w:rFonts w:hint="eastAsia" w:ascii="黑体" w:hAnsi="黑体" w:eastAsia="黑体" w:cs="黑体"/>
          <w:sz w:val="24"/>
          <w:szCs w:val="24"/>
        </w:rPr>
        <w:t>2.1 系统功能</w:t>
      </w:r>
      <w:bookmarkEnd w:id="4"/>
    </w:p>
    <w:p w14:paraId="04F28C11">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5" w:name="_Toc30335"/>
      <w:r>
        <w:rPr>
          <w:rFonts w:hint="eastAsia" w:ascii="宋体" w:hAnsi="宋体" w:eastAsia="宋体" w:cs="宋体"/>
        </w:rPr>
        <w:t>2.1.1 功能概述</w:t>
      </w:r>
      <w:bookmarkEnd w:id="5"/>
    </w:p>
    <w:p w14:paraId="06501AC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针对不同岗位的实操诉求，因地制宜地切分出了 PC 管理后台与移动小程序两条独立的产品线，从而实现了从电芯并网到最终退役的全链路追踪。</w:t>
      </w:r>
    </w:p>
    <w:p w14:paraId="205E829A">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如果按业务边界来拆解，整个架构主要锚定两大核心阵地： 首先是走上前台的“业务态势监测域”。它直接面向园区的运管人员，下辖多维态势看板、基于时序网络的劣化预警、双维减碳账本核算，以及在后台静默流转的自动化派单四大模块；而隐居幕后的则是“算法中台支撑域”。说实话，这块区域更像个纯技术的加工厂，专门承接底层数据集吞吐、神经网络自主训练、泛化测试及评估分析等五大高门槛模块。当然，作为企业级系统，诸如 RBAC 资源共享与越权拦截等常规的底层管理组件也都严丝合缝地嵌合在其中</w:t>
      </w:r>
    </w:p>
    <w:p w14:paraId="2598E91E">
      <w:pPr>
        <w:keepNext w:val="0"/>
        <w:keepLines w:val="0"/>
        <w:pageBreakBefore w:val="0"/>
        <w:widowControl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p>
    <w:p w14:paraId="79DC35D8">
      <w:pPr>
        <w:keepNext w:val="0"/>
        <w:keepLines w:val="0"/>
        <w:pageBreakBefore w:val="0"/>
        <w:widowControl w:val="0"/>
        <w:kinsoku/>
        <w:wordWrap/>
        <w:overflowPunct/>
        <w:topLinePunct w:val="0"/>
        <w:autoSpaceDE/>
        <w:autoSpaceDN/>
        <w:bidi w:val="0"/>
        <w:adjustRightInd/>
        <w:spacing w:line="240"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856605" cy="1908810"/>
            <wp:effectExtent l="0" t="0" r="1270" b="0"/>
            <wp:docPr id="2" name="图片 2" descr="说明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书1"/>
                    <pic:cNvPicPr>
                      <a:picLocks noChangeAspect="1"/>
                    </pic:cNvPicPr>
                  </pic:nvPicPr>
                  <pic:blipFill>
                    <a:blip r:embed="rId7"/>
                    <a:srcRect b="67957"/>
                    <a:stretch>
                      <a:fillRect/>
                    </a:stretch>
                  </pic:blipFill>
                  <pic:spPr>
                    <a:xfrm>
                      <a:off x="0" y="0"/>
                      <a:ext cx="5856605" cy="1908810"/>
                    </a:xfrm>
                    <a:prstGeom prst="rect">
                      <a:avLst/>
                    </a:prstGeom>
                  </pic:spPr>
                </pic:pic>
              </a:graphicData>
            </a:graphic>
          </wp:inline>
        </w:drawing>
      </w:r>
    </w:p>
    <w:p w14:paraId="1A060CD2">
      <w:pPr>
        <w:pStyle w:val="8"/>
        <w:keepNext w:val="0"/>
        <w:keepLines w:val="0"/>
        <w:pageBreakBefore w:val="0"/>
        <w:kinsoku/>
        <w:wordWrap/>
        <w:overflowPunct/>
        <w:topLinePunct w:val="0"/>
        <w:autoSpaceDE/>
        <w:autoSpaceDN/>
        <w:bidi w:val="0"/>
        <w:adjustRightInd/>
        <w:spacing w:after="200" w:line="240" w:lineRule="auto"/>
        <w:ind w:firstLine="480"/>
        <w:jc w:val="center"/>
        <w:textAlignment w:val="auto"/>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系统功能概述图</w:t>
      </w:r>
    </w:p>
    <w:p w14:paraId="4EC41F04">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6" w:name="_Toc16338"/>
      <w:r>
        <w:rPr>
          <w:rFonts w:hint="eastAsia" w:ascii="宋体" w:hAnsi="宋体" w:eastAsia="宋体" w:cs="宋体"/>
        </w:rPr>
        <w:t>2.1.2 功能说明</w:t>
      </w:r>
      <w:bookmarkEnd w:id="6"/>
    </w:p>
    <w:p w14:paraId="53713C7C">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基于上述业务划分，系统各大核心模块的具体运行逻辑如下：</w:t>
      </w:r>
    </w:p>
    <w:p w14:paraId="7796A0DA">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（1）多维可视化监控大屏：</w:t>
      </w:r>
      <w:r>
        <w:rPr>
          <w:rFonts w:hint="eastAsia" w:ascii="宋体" w:hAnsi="宋体" w:eastAsia="宋体" w:cs="宋体"/>
          <w:sz w:val="21"/>
          <w:szCs w:val="21"/>
        </w:rPr>
        <w:t>作为整套系统的监控中枢，大屏端不仅横向聚合了电芯总数、循环充放电记录以及健康度分布等核心资产台账，还针对单台储能柜实现了深度的数字孪生映射。在具体的展示层面上，运管人员既可以调取类似于金融K线的历史电压波动图表进行时序分析，也能通过直观的伪色彩“电芯健康矩阵”快速定位劣化节点，从而全方位掌握设备集群的运行指标与预警统计信息。</w:t>
      </w:r>
    </w:p>
    <w:p w14:paraId="7C216342">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b/>
          <w:bCs/>
          <w:sz w:val="21"/>
          <w:szCs w:val="21"/>
        </w:rPr>
        <w:t>2）电芯级预测与智能预警：</w:t>
      </w:r>
      <w:r>
        <w:rPr>
          <w:rFonts w:hint="eastAsia" w:ascii="宋体" w:hAnsi="宋体" w:eastAsia="宋体" w:cs="宋体"/>
          <w:sz w:val="21"/>
          <w:szCs w:val="21"/>
        </w:rPr>
        <w:t>预测模块是系统底层算法的核心落地场景。通过引入 BiLSTM 与 DeepHPM 双模型架构，平台能够基于上报的实测数据，动态预测电池的 SOH（健康状态）、RUL（剩余使用寿命）以及 PCL（容量衰减）等关键衰退特征。在监测到指标逼近阈值时，系统会严格遵循“健康、预警、故障”三级联防机制触发告警，并在前端同步输出结构化的处置建议，为后续的维护动作提供直接的数据支撑。</w:t>
      </w:r>
    </w:p>
    <w:p w14:paraId="6795FE4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（3）双维度减碳效益核算：</w:t>
      </w:r>
      <w:r>
        <w:rPr>
          <w:rFonts w:hint="eastAsia" w:ascii="宋体" w:hAnsi="宋体" w:eastAsia="宋体" w:cs="宋体"/>
          <w:sz w:val="21"/>
          <w:szCs w:val="21"/>
        </w:rPr>
        <w:t>为了将储能设备的环保贡献予以量化，系统开创性地设计了双维度的账本体系。除了核算常规的“峰谷套利”电量转移减排外，程序还深入计算了因“电池物理延寿”而间接省下的制造端碳足迹。考虑到硬件介质的差异性，我们在代码中预置了磷酸铁锂、三元锂及铅酸等主流电池的基准碳排放因子。系统会在后台自动匹配这些参数，并汇总计算出精准的年度减碳量流水。</w:t>
      </w:r>
    </w:p>
    <w:p w14:paraId="271B4BE2">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（4）自动化智能派单引擎：</w:t>
      </w:r>
      <w:r>
        <w:rPr>
          <w:rFonts w:hint="eastAsia" w:ascii="宋体" w:hAnsi="宋体" w:eastAsia="宋体" w:cs="宋体"/>
          <w:sz w:val="21"/>
          <w:szCs w:val="21"/>
        </w:rPr>
        <w:t>运维流转的效率直接决定了预警机制的实际价值。一旦底层算法判定某块电池存在高危风险，系统会即刻在后台生成结构化工单，并依据设备的地理位置将任务智能指派给相近的空闲运维工程师。整个流程涵盖了管理员的二次审核、现场工程师的接单操作，以及后续的巡检记录与现场照片存档。这种由代码驱动的流转机制，从根本上确保了隐患排查的全流程闭环管理。</w:t>
      </w:r>
    </w:p>
    <w:p w14:paraId="3009CC46">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（5）AI算法支撑中台：</w:t>
      </w:r>
      <w:r>
        <w:rPr>
          <w:rFonts w:hint="eastAsia" w:ascii="宋体" w:hAnsi="宋体" w:eastAsia="宋体" w:cs="宋体"/>
          <w:sz w:val="21"/>
          <w:szCs w:val="21"/>
        </w:rPr>
        <w:t>针对未来可能入网的新型电池批次，系统提供了一套可供模型持续演进的基础工作台。该中台不仅囊括了常规的底层数据管理与结果分析模块，还支持授权用户导入全新的清洗集，手动发起深度学习网络的自定义训练与泛化测试。借助平台内置的模型验证工具，使用者可以直观比对多组预测模型的拟合精度与误差表现，从而筛选出最适配当前工况的算法权重。</w:t>
      </w:r>
    </w:p>
    <w:p w14:paraId="629FE9C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（6）轻量化移动终端（小程序）：</w:t>
      </w:r>
      <w:r>
        <w:rPr>
          <w:rFonts w:hint="eastAsia" w:ascii="宋体" w:hAnsi="宋体" w:eastAsia="宋体" w:cs="宋体"/>
          <w:sz w:val="21"/>
          <w:szCs w:val="21"/>
        </w:rPr>
        <w:t>考虑到现场抢修人员的实际办公环境，系统专门开发了聚焦于一线执行场景的微信小程序。移动端的核心逻辑被刻意精简，主要承接云端下发的告警推送，辅助技术人员完成工单的扫码签收与异常机柜的扫码溯源。此外，程序内嵌的园区导航控件也极大缩短了寻找特定故障点的时间。线上指令与线下动作通过这一轻量级入口被彻底打通。</w:t>
      </w:r>
    </w:p>
    <w:p w14:paraId="324CEB8E">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7" w:name="_Toc21638"/>
      <w:r>
        <w:rPr>
          <w:rFonts w:hint="eastAsia" w:ascii="黑体" w:hAnsi="黑体" w:eastAsia="黑体" w:cs="黑体"/>
          <w:sz w:val="24"/>
          <w:szCs w:val="24"/>
        </w:rPr>
        <w:t>2.2 系统软硬件平台</w:t>
      </w:r>
      <w:bookmarkEnd w:id="7"/>
    </w:p>
    <w:p w14:paraId="2A4623A8">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8" w:name="_Toc13077"/>
      <w:r>
        <w:rPr>
          <w:rFonts w:hint="eastAsia" w:ascii="宋体" w:hAnsi="宋体" w:eastAsia="宋体" w:cs="宋体"/>
        </w:rPr>
        <w:t>2.2.1 系统开发平台</w:t>
      </w:r>
      <w:bookmarkEnd w:id="8"/>
    </w:p>
    <w:p w14:paraId="04C5AB1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系统开发环境配置如下表所示：</w:t>
      </w:r>
    </w:p>
    <w:p w14:paraId="19AC668B">
      <w:pPr>
        <w:pStyle w:val="8"/>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系统开发环境配置表</w:t>
      </w:r>
    </w:p>
    <w:tbl>
      <w:tblPr>
        <w:tblStyle w:val="20"/>
        <w:tblW w:w="886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664"/>
        <w:gridCol w:w="1981"/>
        <w:gridCol w:w="5215"/>
      </w:tblGrid>
      <w:tr w14:paraId="0B9846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664"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213AC9C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2" w:firstLineChars="200"/>
              <w:jc w:val="center"/>
              <w:textAlignment w:val="auto"/>
              <w:rPr>
                <w:rFonts w:hint="eastAsia" w:ascii="宋体" w:hAnsi="宋体" w:eastAsia="宋体" w:cs="宋体"/>
                <w:b/>
              </w:rPr>
            </w:pPr>
            <w:r>
              <w:rPr>
                <w:rFonts w:hint="eastAsia" w:ascii="宋体" w:hAnsi="宋体" w:eastAsia="宋体" w:cs="宋体"/>
                <w:b/>
                <w:bCs/>
                <w:sz w:val="21"/>
                <w:szCs w:val="21"/>
              </w:rPr>
              <w:t>类别</w:t>
            </w:r>
          </w:p>
        </w:tc>
        <w:tc>
          <w:tcPr>
            <w:tcW w:w="1981"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76B6DA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2" w:firstLineChars="200"/>
              <w:jc w:val="center"/>
              <w:textAlignment w:val="auto"/>
              <w:rPr>
                <w:rFonts w:hint="eastAsia" w:ascii="宋体" w:hAnsi="宋体" w:eastAsia="宋体" w:cs="宋体"/>
                <w:b/>
              </w:rPr>
            </w:pPr>
            <w:r>
              <w:rPr>
                <w:rFonts w:hint="eastAsia" w:ascii="宋体" w:hAnsi="宋体" w:eastAsia="宋体" w:cs="宋体"/>
                <w:b/>
                <w:bCs/>
                <w:sz w:val="21"/>
                <w:szCs w:val="21"/>
              </w:rPr>
              <w:t>名称</w:t>
            </w:r>
          </w:p>
        </w:tc>
        <w:tc>
          <w:tcPr>
            <w:tcW w:w="5215"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50AB02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2" w:firstLineChars="200"/>
              <w:jc w:val="center"/>
              <w:textAlignment w:val="auto"/>
              <w:rPr>
                <w:rFonts w:hint="eastAsia" w:ascii="宋体" w:hAnsi="宋体" w:eastAsia="宋体" w:cs="宋体"/>
                <w:b/>
              </w:rPr>
            </w:pPr>
            <w:r>
              <w:rPr>
                <w:rFonts w:hint="eastAsia" w:ascii="宋体" w:hAnsi="宋体" w:eastAsia="宋体" w:cs="宋体"/>
                <w:b/>
                <w:bCs/>
                <w:sz w:val="21"/>
                <w:szCs w:val="21"/>
              </w:rPr>
              <w:t>版本/说明</w:t>
            </w:r>
          </w:p>
        </w:tc>
      </w:tr>
      <w:tr w14:paraId="677BF6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single" w:color="000000" w:sz="4" w:space="0"/>
              <w:left w:val="nil"/>
              <w:bottom w:val="nil"/>
              <w:right w:val="nil"/>
            </w:tcBorders>
            <w:noWrap w:val="0"/>
            <w:tcMar>
              <w:top w:w="80" w:type="dxa"/>
              <w:left w:w="120" w:type="dxa"/>
              <w:bottom w:w="80" w:type="dxa"/>
              <w:right w:w="120" w:type="dxa"/>
            </w:tcMar>
            <w:vAlign w:val="center"/>
          </w:tcPr>
          <w:p w14:paraId="726B29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操作系统</w:t>
            </w:r>
          </w:p>
        </w:tc>
        <w:tc>
          <w:tcPr>
            <w:tcW w:w="1981" w:type="dxa"/>
            <w:tcBorders>
              <w:top w:val="single" w:color="000000" w:sz="4" w:space="0"/>
              <w:left w:val="nil"/>
              <w:bottom w:val="nil"/>
              <w:right w:val="nil"/>
            </w:tcBorders>
            <w:noWrap w:val="0"/>
            <w:tcMar>
              <w:top w:w="80" w:type="dxa"/>
              <w:left w:w="120" w:type="dxa"/>
              <w:bottom w:w="80" w:type="dxa"/>
              <w:right w:w="120" w:type="dxa"/>
            </w:tcMar>
            <w:vAlign w:val="center"/>
          </w:tcPr>
          <w:p w14:paraId="5A8522B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Windows 11</w:t>
            </w:r>
          </w:p>
        </w:tc>
        <w:tc>
          <w:tcPr>
            <w:tcW w:w="5215" w:type="dxa"/>
            <w:tcBorders>
              <w:top w:val="single" w:color="000000" w:sz="4" w:space="0"/>
              <w:left w:val="nil"/>
              <w:bottom w:val="nil"/>
              <w:right w:val="nil"/>
            </w:tcBorders>
            <w:noWrap w:val="0"/>
            <w:tcMar>
              <w:top w:w="80" w:type="dxa"/>
              <w:left w:w="120" w:type="dxa"/>
              <w:bottom w:w="80" w:type="dxa"/>
              <w:right w:w="120" w:type="dxa"/>
            </w:tcMar>
            <w:vAlign w:val="center"/>
          </w:tcPr>
          <w:p w14:paraId="6CB247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开发环境操作系统</w:t>
            </w:r>
          </w:p>
        </w:tc>
      </w:tr>
      <w:tr w14:paraId="47DD69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50F981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后端框架</w:t>
            </w:r>
          </w:p>
        </w:tc>
        <w:tc>
          <w:tcPr>
            <w:tcW w:w="1981" w:type="dxa"/>
            <w:tcBorders>
              <w:top w:val="nil"/>
              <w:left w:val="nil"/>
              <w:bottom w:val="nil"/>
              <w:right w:val="nil"/>
            </w:tcBorders>
            <w:noWrap w:val="0"/>
            <w:tcMar>
              <w:top w:w="80" w:type="dxa"/>
              <w:left w:w="120" w:type="dxa"/>
              <w:bottom w:w="80" w:type="dxa"/>
              <w:right w:w="120" w:type="dxa"/>
            </w:tcMar>
            <w:vAlign w:val="center"/>
          </w:tcPr>
          <w:p w14:paraId="067817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FastAPI</w:t>
            </w:r>
          </w:p>
        </w:tc>
        <w:tc>
          <w:tcPr>
            <w:tcW w:w="5215" w:type="dxa"/>
            <w:tcBorders>
              <w:top w:val="nil"/>
              <w:left w:val="nil"/>
              <w:bottom w:val="nil"/>
              <w:right w:val="nil"/>
            </w:tcBorders>
            <w:noWrap w:val="0"/>
            <w:tcMar>
              <w:top w:w="80" w:type="dxa"/>
              <w:left w:w="120" w:type="dxa"/>
              <w:bottom w:w="80" w:type="dxa"/>
              <w:right w:w="120" w:type="dxa"/>
            </w:tcMar>
            <w:vAlign w:val="center"/>
          </w:tcPr>
          <w:p w14:paraId="66AC385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v0.109.2，高性能Python异步Web框架</w:t>
            </w:r>
          </w:p>
        </w:tc>
      </w:tr>
      <w:tr w14:paraId="7123E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2971715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ORM框架</w:t>
            </w:r>
          </w:p>
        </w:tc>
        <w:tc>
          <w:tcPr>
            <w:tcW w:w="1981" w:type="dxa"/>
            <w:tcBorders>
              <w:top w:val="nil"/>
              <w:left w:val="nil"/>
              <w:bottom w:val="nil"/>
              <w:right w:val="nil"/>
            </w:tcBorders>
            <w:noWrap w:val="0"/>
            <w:tcMar>
              <w:top w:w="80" w:type="dxa"/>
              <w:left w:w="120" w:type="dxa"/>
              <w:bottom w:w="80" w:type="dxa"/>
              <w:right w:w="120" w:type="dxa"/>
            </w:tcMar>
            <w:vAlign w:val="center"/>
          </w:tcPr>
          <w:p w14:paraId="5E33BC3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SQLAlchemy</w:t>
            </w:r>
          </w:p>
        </w:tc>
        <w:tc>
          <w:tcPr>
            <w:tcW w:w="5215" w:type="dxa"/>
            <w:tcBorders>
              <w:top w:val="nil"/>
              <w:left w:val="nil"/>
              <w:bottom w:val="nil"/>
              <w:right w:val="nil"/>
            </w:tcBorders>
            <w:noWrap w:val="0"/>
            <w:tcMar>
              <w:top w:w="80" w:type="dxa"/>
              <w:left w:w="120" w:type="dxa"/>
              <w:bottom w:w="80" w:type="dxa"/>
              <w:right w:w="120" w:type="dxa"/>
            </w:tcMar>
            <w:vAlign w:val="center"/>
          </w:tcPr>
          <w:p w14:paraId="3D9D14C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v2.0.23，Python SQL工具包和ORM</w:t>
            </w:r>
          </w:p>
        </w:tc>
      </w:tr>
      <w:tr w14:paraId="19A393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62EAC0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深度学习</w:t>
            </w:r>
          </w:p>
        </w:tc>
        <w:tc>
          <w:tcPr>
            <w:tcW w:w="1981" w:type="dxa"/>
            <w:tcBorders>
              <w:top w:val="nil"/>
              <w:left w:val="nil"/>
              <w:bottom w:val="nil"/>
              <w:right w:val="nil"/>
            </w:tcBorders>
            <w:noWrap w:val="0"/>
            <w:tcMar>
              <w:top w:w="80" w:type="dxa"/>
              <w:left w:w="120" w:type="dxa"/>
              <w:bottom w:w="80" w:type="dxa"/>
              <w:right w:w="120" w:type="dxa"/>
            </w:tcMar>
            <w:vAlign w:val="center"/>
          </w:tcPr>
          <w:p w14:paraId="02E9EA4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PyTorch</w:t>
            </w:r>
          </w:p>
        </w:tc>
        <w:tc>
          <w:tcPr>
            <w:tcW w:w="5215" w:type="dxa"/>
            <w:tcBorders>
              <w:top w:val="nil"/>
              <w:left w:val="nil"/>
              <w:bottom w:val="nil"/>
              <w:right w:val="nil"/>
            </w:tcBorders>
            <w:noWrap w:val="0"/>
            <w:tcMar>
              <w:top w:w="80" w:type="dxa"/>
              <w:left w:w="120" w:type="dxa"/>
              <w:bottom w:w="80" w:type="dxa"/>
              <w:right w:w="120" w:type="dxa"/>
            </w:tcMar>
            <w:vAlign w:val="center"/>
          </w:tcPr>
          <w:p w14:paraId="3D28B7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v2.1.0+，用于训练BiLSTM、DeepHPM等模型</w:t>
            </w:r>
          </w:p>
        </w:tc>
      </w:tr>
      <w:tr w14:paraId="4DF0F1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321BBBE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PC前端</w:t>
            </w:r>
          </w:p>
        </w:tc>
        <w:tc>
          <w:tcPr>
            <w:tcW w:w="1981" w:type="dxa"/>
            <w:tcBorders>
              <w:top w:val="nil"/>
              <w:left w:val="nil"/>
              <w:bottom w:val="nil"/>
              <w:right w:val="nil"/>
            </w:tcBorders>
            <w:noWrap w:val="0"/>
            <w:tcMar>
              <w:top w:w="80" w:type="dxa"/>
              <w:left w:w="120" w:type="dxa"/>
              <w:bottom w:w="80" w:type="dxa"/>
              <w:right w:w="120" w:type="dxa"/>
            </w:tcMar>
            <w:vAlign w:val="center"/>
          </w:tcPr>
          <w:p w14:paraId="4F81F97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left"/>
              <w:textAlignment w:val="auto"/>
              <w:rPr>
                <w:rFonts w:hint="eastAsia" w:ascii="宋体" w:hAnsi="宋体" w:eastAsia="宋体" w:cs="宋体"/>
                <w:sz w:val="21"/>
                <w:szCs w:val="21"/>
              </w:rPr>
            </w:pPr>
            <w:r>
              <w:rPr>
                <w:rFonts w:hint="eastAsia" w:ascii="宋体" w:hAnsi="宋体" w:eastAsia="宋体" w:cs="宋体"/>
                <w:b w:val="0"/>
                <w:bCs w:val="0"/>
                <w:sz w:val="21"/>
                <w:szCs w:val="21"/>
              </w:rPr>
              <w:t>Vue 3+Vite</w:t>
            </w:r>
          </w:p>
        </w:tc>
        <w:tc>
          <w:tcPr>
            <w:tcW w:w="5215" w:type="dxa"/>
            <w:tcBorders>
              <w:top w:val="nil"/>
              <w:left w:val="nil"/>
              <w:bottom w:val="nil"/>
              <w:right w:val="nil"/>
            </w:tcBorders>
            <w:noWrap w:val="0"/>
            <w:tcMar>
              <w:top w:w="80" w:type="dxa"/>
              <w:left w:w="120" w:type="dxa"/>
              <w:bottom w:w="80" w:type="dxa"/>
              <w:right w:w="120" w:type="dxa"/>
            </w:tcMar>
            <w:vAlign w:val="center"/>
          </w:tcPr>
          <w:p w14:paraId="56B82E2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Vue 3.2.47 + Vite 4.1.4，现代前端开发框架</w:t>
            </w:r>
          </w:p>
        </w:tc>
      </w:tr>
      <w:tr w14:paraId="1E8955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3F9F506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UI组件库</w:t>
            </w:r>
          </w:p>
        </w:tc>
        <w:tc>
          <w:tcPr>
            <w:tcW w:w="1981" w:type="dxa"/>
            <w:tcBorders>
              <w:top w:val="nil"/>
              <w:left w:val="nil"/>
              <w:bottom w:val="nil"/>
              <w:right w:val="nil"/>
            </w:tcBorders>
            <w:noWrap w:val="0"/>
            <w:tcMar>
              <w:top w:w="80" w:type="dxa"/>
              <w:left w:w="120" w:type="dxa"/>
              <w:bottom w:w="80" w:type="dxa"/>
              <w:right w:w="120" w:type="dxa"/>
            </w:tcMar>
            <w:vAlign w:val="center"/>
          </w:tcPr>
          <w:p w14:paraId="78942A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Element Plus</w:t>
            </w:r>
          </w:p>
        </w:tc>
        <w:tc>
          <w:tcPr>
            <w:tcW w:w="5215" w:type="dxa"/>
            <w:tcBorders>
              <w:top w:val="nil"/>
              <w:left w:val="nil"/>
              <w:bottom w:val="nil"/>
              <w:right w:val="nil"/>
            </w:tcBorders>
            <w:noWrap w:val="0"/>
            <w:tcMar>
              <w:top w:w="80" w:type="dxa"/>
              <w:left w:w="120" w:type="dxa"/>
              <w:bottom w:w="80" w:type="dxa"/>
              <w:right w:w="120" w:type="dxa"/>
            </w:tcMar>
            <w:vAlign w:val="center"/>
          </w:tcPr>
          <w:p w14:paraId="329786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v2.2.28，Vue 3组件库</w:t>
            </w:r>
          </w:p>
        </w:tc>
      </w:tr>
      <w:tr w14:paraId="0682B4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5EFB821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可视化库</w:t>
            </w:r>
          </w:p>
        </w:tc>
        <w:tc>
          <w:tcPr>
            <w:tcW w:w="1981" w:type="dxa"/>
            <w:tcBorders>
              <w:top w:val="nil"/>
              <w:left w:val="nil"/>
              <w:bottom w:val="nil"/>
              <w:right w:val="nil"/>
            </w:tcBorders>
            <w:noWrap w:val="0"/>
            <w:tcMar>
              <w:top w:w="80" w:type="dxa"/>
              <w:left w:w="120" w:type="dxa"/>
              <w:bottom w:w="80" w:type="dxa"/>
              <w:right w:w="120" w:type="dxa"/>
            </w:tcMar>
            <w:vAlign w:val="center"/>
          </w:tcPr>
          <w:p w14:paraId="436FE5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ECharts</w:t>
            </w:r>
          </w:p>
        </w:tc>
        <w:tc>
          <w:tcPr>
            <w:tcW w:w="5215" w:type="dxa"/>
            <w:tcBorders>
              <w:top w:val="nil"/>
              <w:left w:val="nil"/>
              <w:bottom w:val="nil"/>
              <w:right w:val="nil"/>
            </w:tcBorders>
            <w:noWrap w:val="0"/>
            <w:tcMar>
              <w:top w:w="80" w:type="dxa"/>
              <w:left w:w="120" w:type="dxa"/>
              <w:bottom w:w="80" w:type="dxa"/>
              <w:right w:w="120" w:type="dxa"/>
            </w:tcMar>
            <w:vAlign w:val="center"/>
          </w:tcPr>
          <w:p w14:paraId="1DBA8C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v5.4.1，数据可视化图表库</w:t>
            </w:r>
          </w:p>
        </w:tc>
      </w:tr>
      <w:tr w14:paraId="2CDEC7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nil"/>
              <w:right w:val="nil"/>
            </w:tcBorders>
            <w:noWrap w:val="0"/>
            <w:tcMar>
              <w:top w:w="80" w:type="dxa"/>
              <w:left w:w="120" w:type="dxa"/>
              <w:bottom w:w="80" w:type="dxa"/>
              <w:right w:w="120" w:type="dxa"/>
            </w:tcMar>
            <w:vAlign w:val="center"/>
          </w:tcPr>
          <w:p w14:paraId="5C8AC50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移动端</w:t>
            </w:r>
          </w:p>
        </w:tc>
        <w:tc>
          <w:tcPr>
            <w:tcW w:w="1981" w:type="dxa"/>
            <w:tcBorders>
              <w:top w:val="nil"/>
              <w:left w:val="nil"/>
              <w:bottom w:val="nil"/>
              <w:right w:val="nil"/>
            </w:tcBorders>
            <w:noWrap w:val="0"/>
            <w:tcMar>
              <w:top w:w="80" w:type="dxa"/>
              <w:left w:w="120" w:type="dxa"/>
              <w:bottom w:w="80" w:type="dxa"/>
              <w:right w:w="120" w:type="dxa"/>
            </w:tcMar>
            <w:vAlign w:val="center"/>
          </w:tcPr>
          <w:p w14:paraId="0BB4D7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UniApp</w:t>
            </w:r>
          </w:p>
        </w:tc>
        <w:tc>
          <w:tcPr>
            <w:tcW w:w="5215" w:type="dxa"/>
            <w:tcBorders>
              <w:top w:val="nil"/>
              <w:left w:val="nil"/>
              <w:bottom w:val="nil"/>
              <w:right w:val="nil"/>
            </w:tcBorders>
            <w:noWrap w:val="0"/>
            <w:tcMar>
              <w:top w:w="80" w:type="dxa"/>
              <w:left w:w="120" w:type="dxa"/>
              <w:bottom w:w="80" w:type="dxa"/>
              <w:right w:w="120" w:type="dxa"/>
            </w:tcMar>
            <w:vAlign w:val="center"/>
          </w:tcPr>
          <w:p w14:paraId="62DBFDF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跨平台开发框架，支持小程序和APP</w:t>
            </w:r>
          </w:p>
        </w:tc>
      </w:tr>
      <w:tr w14:paraId="695EC2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664" w:type="dxa"/>
            <w:tcBorders>
              <w:top w:val="nil"/>
              <w:left w:val="nil"/>
              <w:bottom w:val="single" w:color="000000" w:sz="12" w:space="0"/>
              <w:right w:val="nil"/>
            </w:tcBorders>
            <w:noWrap w:val="0"/>
            <w:tcMar>
              <w:top w:w="80" w:type="dxa"/>
              <w:left w:w="120" w:type="dxa"/>
              <w:bottom w:w="80" w:type="dxa"/>
              <w:right w:w="120" w:type="dxa"/>
            </w:tcMar>
            <w:vAlign w:val="center"/>
          </w:tcPr>
          <w:p w14:paraId="1D8D8AB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数据库</w:t>
            </w:r>
          </w:p>
        </w:tc>
        <w:tc>
          <w:tcPr>
            <w:tcW w:w="1981" w:type="dxa"/>
            <w:tcBorders>
              <w:top w:val="nil"/>
              <w:left w:val="nil"/>
              <w:bottom w:val="single" w:color="000000" w:sz="12" w:space="0"/>
              <w:right w:val="nil"/>
            </w:tcBorders>
            <w:noWrap w:val="0"/>
            <w:tcMar>
              <w:top w:w="80" w:type="dxa"/>
              <w:left w:w="120" w:type="dxa"/>
              <w:bottom w:w="80" w:type="dxa"/>
              <w:right w:w="120" w:type="dxa"/>
            </w:tcMar>
            <w:vAlign w:val="center"/>
          </w:tcPr>
          <w:p w14:paraId="020FEC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MySQL</w:t>
            </w:r>
          </w:p>
        </w:tc>
        <w:tc>
          <w:tcPr>
            <w:tcW w:w="5215" w:type="dxa"/>
            <w:tcBorders>
              <w:top w:val="nil"/>
              <w:left w:val="nil"/>
              <w:bottom w:val="single" w:color="000000" w:sz="12" w:space="0"/>
              <w:right w:val="nil"/>
            </w:tcBorders>
            <w:noWrap w:val="0"/>
            <w:tcMar>
              <w:top w:w="80" w:type="dxa"/>
              <w:left w:w="120" w:type="dxa"/>
              <w:bottom w:w="80" w:type="dxa"/>
              <w:right w:w="120" w:type="dxa"/>
            </w:tcMar>
            <w:vAlign w:val="center"/>
          </w:tcPr>
          <w:p w14:paraId="2B135F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420" w:firstLineChars="200"/>
              <w:jc w:val="center"/>
              <w:textAlignment w:val="auto"/>
              <w:rPr>
                <w:rFonts w:hint="eastAsia" w:ascii="宋体" w:hAnsi="宋体" w:eastAsia="宋体" w:cs="宋体"/>
                <w:sz w:val="21"/>
                <w:szCs w:val="21"/>
              </w:rPr>
            </w:pPr>
            <w:r>
              <w:rPr>
                <w:rFonts w:hint="eastAsia" w:ascii="宋体" w:hAnsi="宋体" w:eastAsia="宋体" w:cs="宋体"/>
                <w:b w:val="0"/>
                <w:bCs w:val="0"/>
                <w:sz w:val="21"/>
                <w:szCs w:val="21"/>
              </w:rPr>
              <w:t>v8.0+，关系型数据库</w:t>
            </w:r>
          </w:p>
        </w:tc>
      </w:tr>
    </w:tbl>
    <w:p w14:paraId="10DE8B47">
      <w:pPr>
        <w:keepNext w:val="0"/>
        <w:keepLines w:val="0"/>
        <w:pageBreakBefore w:val="0"/>
        <w:widowControl w:val="0"/>
        <w:kinsoku/>
        <w:wordWrap/>
        <w:overflowPunct/>
        <w:topLinePunct w:val="0"/>
        <w:autoSpaceDE/>
        <w:autoSpaceDN/>
        <w:bidi w:val="0"/>
        <w:adjustRightInd/>
        <w:spacing w:line="240" w:lineRule="auto"/>
        <w:jc w:val="both"/>
        <w:textAlignment w:val="auto"/>
        <w:rPr>
          <w:rFonts w:hint="eastAsia" w:ascii="宋体" w:hAnsi="宋体" w:eastAsia="宋体" w:cs="宋体"/>
          <w:sz w:val="21"/>
          <w:szCs w:val="21"/>
        </w:rPr>
      </w:pPr>
    </w:p>
    <w:p w14:paraId="027ECCC6">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9" w:name="_Toc13651"/>
      <w:r>
        <w:rPr>
          <w:rFonts w:hint="eastAsia" w:ascii="宋体" w:hAnsi="宋体" w:eastAsia="宋体" w:cs="宋体"/>
        </w:rPr>
        <w:t>2.2.2 系统运行平台</w:t>
      </w:r>
      <w:bookmarkEnd w:id="9"/>
    </w:p>
    <w:p w14:paraId="31731040">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系统采用B/S架构，运行环境要求如下：</w:t>
      </w:r>
    </w:p>
    <w:p w14:paraId="608C100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服务器端：操作系统Windows Server 2019</w:t>
      </w:r>
      <w:r>
        <w:rPr>
          <w:rFonts w:hint="eastAsia" w:cs="宋体"/>
          <w:sz w:val="21"/>
          <w:szCs w:val="21"/>
          <w:lang w:eastAsia="zh-CN"/>
        </w:rPr>
        <w:t>；</w:t>
      </w:r>
      <w:r>
        <w:rPr>
          <w:rFonts w:hint="eastAsia" w:ascii="宋体" w:hAnsi="宋体" w:eastAsia="宋体" w:cs="宋体"/>
          <w:sz w:val="21"/>
          <w:szCs w:val="21"/>
        </w:rPr>
        <w:t>Python 3.10+运行环境；MySQL 8.0+数据库；内存8GB以上，存储100GB以上。</w:t>
      </w:r>
    </w:p>
    <w:p w14:paraId="4D1A5D73">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PC客户端：支持Chrome、Edge、Firefox等主流浏览器，建议Chrome 90+版本。</w:t>
      </w:r>
    </w:p>
    <w:p w14:paraId="702FCFC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移动端：支持微信小程序平台，兼容iOS和Android系统。</w:t>
      </w:r>
    </w:p>
    <w:p w14:paraId="0F78E24C">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10" w:name="_Toc14599"/>
      <w:r>
        <w:rPr>
          <w:rFonts w:hint="eastAsia" w:ascii="黑体" w:hAnsi="黑体" w:eastAsia="黑体" w:cs="黑体"/>
          <w:sz w:val="24"/>
          <w:szCs w:val="24"/>
        </w:rPr>
        <w:t>2.3 关键技术</w:t>
      </w:r>
      <w:bookmarkEnd w:id="10"/>
    </w:p>
    <w:p w14:paraId="7FD9DA29">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要是没有足够扎实的底层技术托底，前面规划的那些预测和流转功能很容易变成空中楼阁。在这套系统中，团队主要死磕了以下几个关键技术点：</w:t>
      </w:r>
    </w:p>
    <w:p w14:paraId="14341CD8">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（1）BiLSTM 双向时序推演网络</w:t>
      </w:r>
      <w:r>
        <w:rPr>
          <w:rFonts w:hint="eastAsia" w:ascii="宋体" w:hAnsi="宋体" w:eastAsia="宋体" w:cs="宋体"/>
          <w:sz w:val="21"/>
          <w:szCs w:val="21"/>
        </w:rPr>
        <w:t>：电池寿命的衰减从来都不是单向的线性滑坡。为了吃透历史运行数据与未来退化趋势之间的暗含联系，我们在算法层彻底弃用了老旧的单向 RNN，转而采用 BiLSTM。它能够同时兼顾数据序列的前向和后向依赖关系。其实在工程落地的初期，我们也经历过大量调参的阵痛，但最终这套模型在严苛的 Severson 电池验证集上，预测准确率R²达到0.94以上</w:t>
      </w:r>
      <w:r>
        <w:rPr>
          <w:rFonts w:hint="eastAsia" w:ascii="宋体" w:hAnsi="宋体" w:eastAsia="宋体" w:cs="宋体"/>
          <w:sz w:val="21"/>
          <w:szCs w:val="21"/>
        </w:rPr>
        <w:t>。</w:t>
      </w:r>
    </w:p>
    <w:p w14:paraId="6DE0CEA5">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（2）DeepHPM 混合物理补偿机制：</w:t>
      </w:r>
      <w:r>
        <w:rPr>
          <w:rFonts w:hint="eastAsia" w:ascii="宋体" w:hAnsi="宋体" w:eastAsia="宋体" w:cs="宋体"/>
          <w:sz w:val="21"/>
          <w:szCs w:val="21"/>
        </w:rPr>
        <w:t>单纯靠数据“喂”出来的模型，一旦遇到完全没见过的新工况，很容易出现预测发散的通病。为了解决这种泛化能力弱的问题，我们整合了 DeepHPM。简单来说，就是先拿传统的物理机理公式画出一条大体的衰退基准线，然后再用深度神经网络去精准捕捉局部复杂的残差波动。物理与数据的“两条腿走路”，使得系统即便面对复杂的室外温变环境也能保持极高的鲁棒性。</w:t>
      </w:r>
    </w:p>
    <w:p w14:paraId="3F5ED959">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（3）基于 FastAPI 的异步 RESTful 引擎：</w:t>
      </w:r>
      <w:r>
        <w:rPr>
          <w:rFonts w:hint="eastAsia" w:ascii="宋体" w:hAnsi="宋体" w:eastAsia="宋体" w:cs="宋体"/>
          <w:sz w:val="21"/>
          <w:szCs w:val="21"/>
        </w:rPr>
        <w:t>这套系统的后端本质上是个吞吐量极大的数据泵。为了不让并发的传感请求把接口彻底堵死，后端选型全面拥抱了 FastAPI 框架。借助其底层原生的异步机制，主线程不再被沉重的 I/O 读写所拖累。此外，自动生成的 OpenAPI 文档也让我们在后期调试小程序端与 PC 端接口时省去了大量联调沟通的成本。</w:t>
      </w:r>
    </w:p>
    <w:p w14:paraId="0D8E9787">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（4）JWT 无状态多端身份签发：</w:t>
      </w:r>
      <w:r>
        <w:rPr>
          <w:rFonts w:hint="eastAsia" w:ascii="宋体" w:hAnsi="宋体" w:eastAsia="宋体" w:cs="宋体"/>
          <w:sz w:val="21"/>
          <w:szCs w:val="21"/>
        </w:rPr>
        <w:t>由于平台同时涵盖了 PC 管理端与微信小程序，传统的 Session 依赖机制显然不够看了。我们在安全网关层统一加盖了 JSON Web Token 认证。这不仅做到了全平台接口的无状态校验，更从底层阻断了多园区之间的越权调用漏洞。</w:t>
      </w:r>
    </w:p>
    <w:p w14:paraId="7259391C">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lang w:val="en-US" w:eastAsia="zh-CN"/>
        </w:rPr>
      </w:pPr>
      <w:r>
        <w:rPr>
          <w:rFonts w:hint="eastAsia" w:ascii="宋体" w:hAnsi="宋体" w:eastAsia="宋体" w:cs="宋体"/>
          <w:b/>
          <w:bCs/>
          <w:sz w:val="21"/>
          <w:szCs w:val="21"/>
        </w:rPr>
        <w:t>（5）ECharts 图表深度定制：</w:t>
      </w:r>
      <w:r>
        <w:rPr>
          <w:rFonts w:hint="eastAsia" w:ascii="宋体" w:hAnsi="宋体" w:eastAsia="宋体" w:cs="宋体"/>
          <w:sz w:val="21"/>
          <w:szCs w:val="21"/>
        </w:rPr>
        <w:t>管理大屏决不能只是干巴巴的指标罗列。通过对 ECharts 实例的深度二次封装，我们硬是把枯燥的伏安特性参数渲染成了类似于金融走势的 K 线图，并且用伪色彩绘制了直观的“电芯健康矩阵”。这种所见即所得的可视化表达，极大地降低了运管人员的认知门槛。</w:t>
      </w:r>
    </w:p>
    <w:p w14:paraId="64E99682">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11" w:name="_Toc8722"/>
      <w:r>
        <w:rPr>
          <w:rFonts w:hint="eastAsia" w:ascii="黑体" w:hAnsi="黑体" w:eastAsia="黑体" w:cs="黑体"/>
          <w:sz w:val="24"/>
          <w:szCs w:val="24"/>
        </w:rPr>
        <w:t>2.4 作品特色</w:t>
      </w:r>
      <w:bookmarkEnd w:id="11"/>
    </w:p>
    <w:p w14:paraId="548496B2">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拨开繁杂的代码，如果只用几句话来概括本项目的核心价值，我们认为它在以下五个维度上实现了实质性的破局：</w:t>
      </w:r>
    </w:p>
    <w:p w14:paraId="61F96B1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（1）实现单体电芯级别的健康状态监测</w:t>
      </w:r>
      <w:r>
        <w:rPr>
          <w:rFonts w:hint="eastAsia" w:ascii="宋体" w:hAnsi="宋体" w:eastAsia="宋体" w:cs="宋体"/>
          <w:sz w:val="21"/>
          <w:szCs w:val="21"/>
          <w:lang w:eastAsia="zh-CN"/>
        </w:rPr>
        <w:t>，</w:t>
      </w:r>
      <w:r>
        <w:rPr>
          <w:rFonts w:hint="eastAsia" w:ascii="宋体" w:hAnsi="宋体" w:eastAsia="宋体" w:cs="宋体"/>
          <w:sz w:val="21"/>
          <w:szCs w:val="21"/>
        </w:rPr>
        <w:t>告别了过去那种“一坏坏一整个柜子”、靠均值去估算的粗放式监测模式。系统把健康状态的评估做到了单体电芯级别，这让现场师傅的故障定位效率有了质的飞跃。</w:t>
      </w:r>
    </w:p>
    <w:p w14:paraId="69E4937E">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（2）拒绝算法黑盒，实现模型“打擂台”</w:t>
      </w:r>
      <w:r>
        <w:rPr>
          <w:rFonts w:hint="eastAsia" w:ascii="宋体" w:hAnsi="宋体" w:eastAsia="宋体" w:cs="宋体"/>
          <w:sz w:val="21"/>
          <w:szCs w:val="21"/>
          <w:lang w:eastAsia="zh-CN"/>
        </w:rPr>
        <w:t>。</w:t>
      </w:r>
      <w:r>
        <w:rPr>
          <w:rFonts w:hint="eastAsia" w:ascii="宋体" w:hAnsi="宋体" w:eastAsia="宋体" w:cs="宋体"/>
          <w:sz w:val="21"/>
          <w:szCs w:val="21"/>
        </w:rPr>
        <w:t>工业界最怕的就是黑盒 AI。为了增强系统的可信度，我们在中台专门开辟了一个可视化模块。无论是新跑出的 BiLSTM 还是备用的 Baseline 模型，全都拉到同一组数据下直观比对预测精度，把最优算法的决策权明明白白地交给用户。</w:t>
      </w:r>
    </w:p>
    <w:p w14:paraId="4153D3C3">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（3）防篡改的工单闭环流转</w:t>
      </w:r>
      <w:r>
        <w:rPr>
          <w:rFonts w:hint="eastAsia" w:ascii="宋体" w:hAnsi="宋体" w:eastAsia="宋体" w:cs="宋体"/>
          <w:sz w:val="21"/>
          <w:szCs w:val="21"/>
          <w:lang w:eastAsia="zh-CN"/>
        </w:rPr>
        <w:t>，</w:t>
      </w:r>
      <w:r>
        <w:rPr>
          <w:rFonts w:hint="eastAsia" w:ascii="宋体" w:hAnsi="宋体" w:eastAsia="宋体" w:cs="宋体"/>
          <w:sz w:val="21"/>
          <w:szCs w:val="21"/>
        </w:rPr>
        <w:t>这套系统最得意的其实是它的自动化流转逻辑。从代码判定某块电芯存在隐患的那一刻起，工单就已经</w:t>
      </w:r>
      <w:r>
        <w:rPr>
          <w:rFonts w:hint="eastAsia" w:ascii="宋体" w:hAnsi="宋体" w:eastAsia="宋体" w:cs="宋体"/>
          <w:sz w:val="21"/>
          <w:szCs w:val="21"/>
          <w:lang w:val="en-US" w:eastAsia="zh-CN"/>
        </w:rPr>
        <w:t>可以</w:t>
      </w:r>
      <w:r>
        <w:rPr>
          <w:rFonts w:hint="eastAsia" w:ascii="宋体" w:hAnsi="宋体" w:eastAsia="宋体" w:cs="宋体"/>
          <w:sz w:val="21"/>
          <w:szCs w:val="21"/>
        </w:rPr>
        <w:t>推到附近师傅的手机里。管理员可以在后台介入微调，但从派单、接单到拍照归档，整套动作全链路留痕，真正实现了兼顾 AI 效率与人工复核的闭环管理。</w:t>
      </w:r>
    </w:p>
    <w:p w14:paraId="54C7329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（4）算清那笔“隐形”的环保账</w:t>
      </w:r>
      <w:r>
        <w:rPr>
          <w:rFonts w:hint="eastAsia" w:ascii="宋体" w:hAnsi="宋体" w:eastAsia="宋体" w:cs="宋体"/>
          <w:sz w:val="21"/>
          <w:szCs w:val="21"/>
          <w:lang w:eastAsia="zh-CN"/>
        </w:rPr>
        <w:t>，</w:t>
      </w:r>
      <w:r>
        <w:rPr>
          <w:rFonts w:hint="eastAsia" w:ascii="宋体" w:hAnsi="宋体" w:eastAsia="宋体" w:cs="宋体"/>
          <w:sz w:val="21"/>
          <w:szCs w:val="21"/>
        </w:rPr>
        <w:t>在这个人人都喊减碳的时代，系统不仅仅去算那些一目了然的峰谷套利减排。我们开创性地增设了一个资产核算维度：把因为“电池主动延寿”而省下的上游制造端碳足迹也量化了出来。双维度的交叉核算，让园区的环保效益真正做到了可查、可证、可量化。</w:t>
      </w:r>
    </w:p>
    <w:p w14:paraId="03B7CEC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（5）双端分发的执行默契</w:t>
      </w:r>
      <w:r>
        <w:rPr>
          <w:rFonts w:hint="eastAsia" w:ascii="宋体" w:hAnsi="宋体" w:eastAsia="宋体" w:cs="宋体"/>
          <w:sz w:val="21"/>
          <w:szCs w:val="21"/>
          <w:lang w:eastAsia="zh-CN"/>
        </w:rPr>
        <w:t>，</w:t>
      </w:r>
      <w:r>
        <w:rPr>
          <w:rFonts w:hint="eastAsia" w:ascii="宋体" w:hAnsi="宋体" w:eastAsia="宋体" w:cs="宋体"/>
          <w:sz w:val="21"/>
          <w:szCs w:val="21"/>
        </w:rPr>
        <w:t>坐在办公室调参看大屏的用 PC 端，常年在外跑现场检修的师傅用小程序。两个入口虽然交互截然不同，但底层却牢牢绑定在同一套 MySQL 数据库上。线上中枢发令，线下末端执行，彻底打通了智慧储能落地的最后一块拼图。</w:t>
      </w:r>
    </w:p>
    <w:p w14:paraId="7B22009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CC85F39">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6D2BF11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0CC786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26CAEE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0185B028">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05BC3AB2">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8B7C069">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6CF14644">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EB66F6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E9638AD">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3A954DC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047AA7AE">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26E4541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2AAB610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2C1B0F0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6FF7F7A">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42BF3C8">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36593E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0551B0E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33AB1423">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B5C6D44">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04D789AD">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27B90530">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67CB65D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1A450E2">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0633F31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C89C283">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396F2BA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7E70ED1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3A8FF27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2A04C444">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21EB6DD">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1E6FB10">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644B4FF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382F1E44">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5A2D71B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48244D45">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66BC200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19CEB20E">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3AA7630E">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62E5A80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p>
    <w:p w14:paraId="2EB14DD1">
      <w:pPr>
        <w:pStyle w:val="2"/>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32"/>
          <w:szCs w:val="32"/>
        </w:rPr>
      </w:pPr>
      <w:bookmarkStart w:id="12" w:name="_Toc4144"/>
      <w:r>
        <w:rPr>
          <w:rFonts w:hint="eastAsia" w:ascii="黑体" w:hAnsi="黑体" w:eastAsia="黑体" w:cs="黑体"/>
          <w:sz w:val="32"/>
          <w:szCs w:val="32"/>
        </w:rPr>
        <w:t>3 详细设计说明</w:t>
      </w:r>
      <w:bookmarkEnd w:id="12"/>
    </w:p>
    <w:p w14:paraId="5429E4D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明确了宏观的技术路线与算法底座之后，接下来的详细设计环节才是真正考验工程落地能力的地方。本章将深入代码实现的最底层，逐一拆解系统的结构骨架、数据持久化存储方案以及最终的前端交互界面设计。</w:t>
      </w:r>
    </w:p>
    <w:p w14:paraId="7F26BAD9">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13" w:name="_Toc30984"/>
      <w:r>
        <w:rPr>
          <w:rFonts w:hint="eastAsia" w:ascii="黑体" w:hAnsi="黑体" w:eastAsia="黑体" w:cs="黑体"/>
          <w:sz w:val="24"/>
          <w:szCs w:val="24"/>
        </w:rPr>
        <w:t>3.1 系统结构设计</w:t>
      </w:r>
      <w:bookmarkEnd w:id="13"/>
    </w:p>
    <w:p w14:paraId="22E24245">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14" w:name="_Toc22550"/>
      <w:r>
        <w:rPr>
          <w:rFonts w:hint="eastAsia" w:ascii="宋体" w:hAnsi="宋体" w:eastAsia="宋体" w:cs="宋体"/>
        </w:rPr>
        <w:t>3.1.1 技术架构</w:t>
      </w:r>
      <w:bookmarkEnd w:id="14"/>
    </w:p>
    <w:p w14:paraId="0FD7BE3B">
      <w:pPr>
        <w:keepNext w:val="0"/>
        <w:keepLines w:val="0"/>
        <w:pageBreakBefore w:val="0"/>
        <w:widowControl w:val="0"/>
        <w:kinsoku/>
        <w:wordWrap/>
        <w:overflowPunct/>
        <w:topLinePunct w:val="0"/>
        <w:autoSpaceDE/>
        <w:autoSpaceDN/>
        <w:bidi w:val="0"/>
        <w:adjustRightInd/>
        <w:snapToGrid/>
        <w:spacing w:beforeAutospacing="0" w:afterAutospacing="0"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为了彻底剥离界面的渲染压力与后端的深度计算逻辑，我们在工程骨架上坚决贯彻了标准的 B/S 前后端分离模式。从代码的物理组织形态来看，整个系统被严密地划分为表现层、业务支撑层以及数据持久层三大板块，它们各司其职又紧密咬合：</w:t>
      </w:r>
    </w:p>
    <w:p w14:paraId="019A0C3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textAlignment w:val="auto"/>
        <w:rPr>
          <w:rFonts w:hint="eastAsia" w:ascii="宋体" w:hAnsi="宋体" w:eastAsia="宋体" w:cs="宋体"/>
          <w:sz w:val="24"/>
          <w:szCs w:val="24"/>
        </w:rPr>
      </w:pPr>
      <w:r>
        <w:rPr>
          <w:rFonts w:hint="eastAsia" w:ascii="宋体" w:hAnsi="宋体" w:eastAsia="宋体" w:cs="宋体"/>
          <w:b/>
          <w:bCs/>
          <w:sz w:val="24"/>
          <w:szCs w:val="24"/>
        </w:rPr>
        <w:t>表现层</w:t>
      </w:r>
      <w:r>
        <w:rPr>
          <w:rStyle w:val="23"/>
          <w:rFonts w:hint="eastAsia" w:ascii="宋体" w:hAnsi="宋体" w:eastAsia="宋体" w:cs="宋体"/>
        </w:rPr>
        <w:t>（终端触点）</w:t>
      </w:r>
      <w:r>
        <w:rPr>
          <w:rFonts w:hint="eastAsia" w:ascii="宋体" w:hAnsi="宋体" w:eastAsia="宋体" w:cs="宋体"/>
          <w:b/>
          <w:bCs/>
          <w:sz w:val="24"/>
          <w:szCs w:val="24"/>
        </w:rPr>
        <w:t>：</w:t>
      </w:r>
      <w:r>
        <w:rPr>
          <w:rFonts w:hint="eastAsia" w:ascii="宋体" w:hAnsi="宋体" w:eastAsia="宋体" w:cs="宋体"/>
          <w:sz w:val="24"/>
          <w:szCs w:val="24"/>
        </w:rPr>
        <w:t>针对截然不同的应用场景，系统在表现层做了分端处理。</w:t>
      </w:r>
    </w:p>
    <w:p w14:paraId="3CDDA2B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76" w:lineRule="auto"/>
        <w:ind w:left="58" w:leftChars="0" w:firstLine="422" w:firstLineChars="0"/>
        <w:textAlignment w:val="auto"/>
        <w:rPr>
          <w:rFonts w:hint="eastAsia" w:ascii="宋体" w:hAnsi="宋体" w:eastAsia="宋体" w:cs="宋体"/>
          <w:sz w:val="21"/>
          <w:szCs w:val="21"/>
        </w:rPr>
      </w:pPr>
      <w:r>
        <w:rPr>
          <w:rFonts w:hint="eastAsia" w:ascii="宋体" w:hAnsi="宋体" w:eastAsia="宋体" w:cs="宋体"/>
          <w:b/>
          <w:bCs/>
          <w:sz w:val="21"/>
          <w:szCs w:val="21"/>
        </w:rPr>
        <w:t>PC 管理端：</w:t>
      </w:r>
      <w:r>
        <w:rPr>
          <w:rFonts w:hint="eastAsia" w:ascii="宋体" w:hAnsi="宋体" w:eastAsia="宋体" w:cs="宋体"/>
          <w:sz w:val="21"/>
          <w:szCs w:val="21"/>
        </w:rPr>
        <w:t>作为重度操作入口，我们选用了 Vue 3 搭配 Element Plus 组件库。利用 Vue 3 的组合式 API（Composition API）特性，配合 ECharts 底层的 Canvas 渲染引擎，稳稳地扛起了海量电池 K 线图与高频数据大屏的渲染重任。</w:t>
      </w:r>
    </w:p>
    <w:p w14:paraId="54FC461F">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76" w:lineRule="auto"/>
        <w:ind w:left="58" w:leftChars="0" w:firstLine="422" w:firstLineChars="0"/>
        <w:textAlignment w:val="auto"/>
        <w:rPr>
          <w:rFonts w:hint="eastAsia" w:ascii="宋体" w:hAnsi="宋体" w:eastAsia="宋体" w:cs="宋体"/>
          <w:sz w:val="21"/>
          <w:szCs w:val="21"/>
        </w:rPr>
      </w:pPr>
      <w:r>
        <w:rPr>
          <w:rFonts w:hint="eastAsia" w:ascii="宋体" w:hAnsi="宋体" w:eastAsia="宋体" w:cs="宋体"/>
          <w:b/>
          <w:bCs/>
          <w:sz w:val="21"/>
          <w:szCs w:val="21"/>
        </w:rPr>
        <w:t>移动终端：</w:t>
      </w:r>
      <w:r>
        <w:rPr>
          <w:rFonts w:hint="eastAsia" w:ascii="宋体" w:hAnsi="宋体" w:eastAsia="宋体" w:cs="宋体"/>
          <w:sz w:val="21"/>
          <w:szCs w:val="21"/>
        </w:rPr>
        <w:t>考虑到现场师傅碎片化、高强度的操作习惯，我们直接基于 UniApp 跨端框架，编译出了一套极其轻量化的微信小程序。它去除了所有花哨的分析图表，</w:t>
      </w:r>
      <w:r>
        <w:rPr>
          <w:rFonts w:hint="eastAsia" w:cs="宋体"/>
          <w:sz w:val="21"/>
          <w:szCs w:val="21"/>
          <w:lang w:val="en-US" w:eastAsia="zh-CN"/>
        </w:rPr>
        <w:t>专注于处理</w:t>
      </w:r>
      <w:r>
        <w:rPr>
          <w:rFonts w:hint="eastAsia" w:ascii="宋体" w:hAnsi="宋体" w:eastAsia="宋体" w:cs="宋体"/>
          <w:sz w:val="21"/>
          <w:szCs w:val="21"/>
        </w:rPr>
        <w:t>承接预警推送弹窗、扫码核对台账以及工单流转审批等即时性极强的动作。</w:t>
      </w:r>
    </w:p>
    <w:p w14:paraId="61E0B11B">
      <w:pPr>
        <w:keepNext w:val="0"/>
        <w:keepLines w:val="0"/>
        <w:pageBreakBefore w:val="0"/>
        <w:widowControl w:val="0"/>
        <w:kinsoku/>
        <w:wordWrap/>
        <w:overflowPunct/>
        <w:topLinePunct w:val="0"/>
        <w:autoSpaceDE/>
        <w:autoSpaceDN/>
        <w:bidi w:val="0"/>
        <w:adjustRightInd/>
        <w:snapToGrid/>
        <w:spacing w:beforeAutospacing="0" w:afterAutospacing="0" w:line="276" w:lineRule="auto"/>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业务层（逻辑中枢）：</w:t>
      </w:r>
      <w:r>
        <w:rPr>
          <w:rFonts w:hint="eastAsia" w:ascii="宋体" w:hAnsi="宋体" w:eastAsia="宋体" w:cs="宋体"/>
          <w:sz w:val="21"/>
          <w:szCs w:val="21"/>
        </w:rPr>
        <w:t>这里堪称整个系统的“发动机”。</w:t>
      </w:r>
    </w:p>
    <w:p w14:paraId="170AAA7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76" w:lineRule="auto"/>
        <w:ind w:left="58" w:leftChars="0"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有别于传统的同步 Web 框架，我们基于 FastAPI 搭建了全异步的 RESTful 接口层。在这个中枢里，SQLAlchemy ORM 负责将极其复杂的联表 SQL 语句对象化，从根源上杜绝了数据注入风险；与此同时，底层的 PyTorch 动态计算图会被即时拉起，用于载入深度模型执行 SOH/RUL 的前向推演。无论是拦截越权请求、核算双维减碳指标，还是派发自动化工单，所有的核心业务规则均在此层完成闭环。</w:t>
      </w:r>
    </w:p>
    <w:p w14:paraId="4104756F">
      <w:pPr>
        <w:keepNext w:val="0"/>
        <w:keepLines w:val="0"/>
        <w:pageBreakBefore w:val="0"/>
        <w:widowControl w:val="0"/>
        <w:kinsoku/>
        <w:wordWrap/>
        <w:overflowPunct/>
        <w:topLinePunct w:val="0"/>
        <w:autoSpaceDE/>
        <w:autoSpaceDN/>
        <w:bidi w:val="0"/>
        <w:adjustRightInd/>
        <w:snapToGrid/>
        <w:spacing w:beforeAutospacing="0" w:afterAutospacing="0" w:line="276" w:lineRule="auto"/>
        <w:ind w:firstLine="422" w:firstLineChars="200"/>
        <w:textAlignment w:val="auto"/>
        <w:rPr>
          <w:rFonts w:hint="eastAsia" w:ascii="宋体" w:hAnsi="宋体" w:eastAsia="宋体" w:cs="宋体"/>
          <w:sz w:val="21"/>
          <w:szCs w:val="21"/>
        </w:rPr>
      </w:pPr>
      <w:r>
        <w:rPr>
          <w:rFonts w:hint="eastAsia" w:ascii="宋体" w:hAnsi="宋体" w:eastAsia="宋体" w:cs="宋体"/>
          <w:b/>
          <w:bCs/>
          <w:sz w:val="21"/>
          <w:szCs w:val="21"/>
        </w:rPr>
        <w:t>数据层（持久化底座）</w:t>
      </w:r>
      <w:r>
        <w:rPr>
          <w:rFonts w:hint="eastAsia" w:ascii="宋体" w:hAnsi="宋体" w:eastAsia="宋体" w:cs="宋体"/>
          <w:sz w:val="21"/>
          <w:szCs w:val="21"/>
        </w:rPr>
        <w:t>：再花哨的预测与分析，最终也得有稳固的数据支撑。</w:t>
      </w:r>
    </w:p>
    <w:p w14:paraId="51999D6B">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76" w:lineRule="auto"/>
        <w:ind w:left="58" w:leftChars="0" w:firstLine="422" w:firstLineChars="0"/>
        <w:textAlignment w:val="auto"/>
        <w:rPr>
          <w:rFonts w:hint="eastAsia" w:ascii="宋体" w:hAnsi="宋体" w:eastAsia="宋体" w:cs="宋体"/>
          <w:sz w:val="21"/>
          <w:szCs w:val="21"/>
        </w:rPr>
      </w:pPr>
      <w:r>
        <w:rPr>
          <w:rFonts w:hint="eastAsia" w:ascii="宋体" w:hAnsi="宋体" w:eastAsia="宋体" w:cs="宋体"/>
          <w:b/>
          <w:bCs/>
          <w:sz w:val="21"/>
          <w:szCs w:val="21"/>
        </w:rPr>
        <w:t>结构化存取：</w:t>
      </w:r>
      <w:r>
        <w:rPr>
          <w:rFonts w:hint="eastAsia" w:ascii="宋体" w:hAnsi="宋体" w:eastAsia="宋体" w:cs="宋体"/>
          <w:sz w:val="21"/>
          <w:szCs w:val="21"/>
        </w:rPr>
        <w:t>我们利用 MySQL 8.0 关系型数据库，将用户信息、电池台账、全生命周期的时序特征值以及工单流水稳稳地落盘保存，确保了高并发下的事务强一致性。</w:t>
      </w:r>
    </w:p>
    <w:p w14:paraId="7ACC909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76" w:lineRule="auto"/>
        <w:ind w:left="58" w:leftChars="0" w:firstLine="422" w:firstLineChars="0"/>
        <w:textAlignment w:val="auto"/>
        <w:rPr>
          <w:rFonts w:hint="eastAsia" w:ascii="宋体" w:hAnsi="宋体" w:eastAsia="宋体" w:cs="宋体"/>
          <w:sz w:val="21"/>
          <w:szCs w:val="21"/>
        </w:rPr>
      </w:pPr>
      <w:r>
        <w:rPr>
          <w:rFonts w:hint="eastAsia" w:ascii="宋体" w:hAnsi="宋体" w:eastAsia="宋体" w:cs="宋体"/>
          <w:b/>
          <w:bCs/>
          <w:sz w:val="21"/>
          <w:szCs w:val="21"/>
        </w:rPr>
        <w:t>非结构化挂载：</w:t>
      </w:r>
      <w:r>
        <w:rPr>
          <w:rFonts w:hint="eastAsia" w:ascii="宋体" w:hAnsi="宋体" w:eastAsia="宋体" w:cs="宋体"/>
          <w:sz w:val="21"/>
          <w:szCs w:val="21"/>
        </w:rPr>
        <w:t>针对 PyTorch 训练出来的那些体积庞大的 .pth 深度学习权重文件，系统并没有选择把它们强行塞进数据库的 Blob 字段里，而是通过独立的文件系统进行外挂存储，仅在数据库中保留寻址路径。这种“结构化数据走 DB，二进制大文件走磁盘”的物理拆分策略，最大程度地保全了数据库的查询并发度与 I/O 性能。储在文件系统中。</w:t>
      </w:r>
    </w:p>
    <w:p w14:paraId="0F1CEFAA">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3361055" cy="2209165"/>
            <wp:effectExtent l="0" t="0" r="0" b="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8"/>
                    <a:srcRect t="6861"/>
                    <a:stretch>
                      <a:fillRect/>
                    </a:stretch>
                  </pic:blipFill>
                  <pic:spPr>
                    <a:xfrm>
                      <a:off x="0" y="0"/>
                      <a:ext cx="3361055" cy="2209165"/>
                    </a:xfrm>
                    <a:prstGeom prst="rect">
                      <a:avLst/>
                    </a:prstGeom>
                  </pic:spPr>
                </pic:pic>
              </a:graphicData>
            </a:graphic>
          </wp:inline>
        </w:drawing>
      </w:r>
    </w:p>
    <w:p w14:paraId="220458CB">
      <w:pPr>
        <w:pStyle w:val="8"/>
        <w:keepNext w:val="0"/>
        <w:keepLines w:val="0"/>
        <w:pageBreakBefore w:val="0"/>
        <w:widowControl w:val="0"/>
        <w:kinsoku/>
        <w:wordWrap/>
        <w:overflowPunct/>
        <w:topLinePunct w:val="0"/>
        <w:autoSpaceDE/>
        <w:autoSpaceDN/>
        <w:bidi w:val="0"/>
        <w:adjustRightInd/>
        <w:spacing w:line="240" w:lineRule="auto"/>
        <w:ind w:firstLine="400" w:firstLineChars="200"/>
        <w:jc w:val="center"/>
        <w:textAlignment w:val="auto"/>
        <w:rPr>
          <w:rFonts w:hint="eastAsia" w:ascii="宋体" w:hAnsi="宋体" w:eastAsia="宋体" w:cs="宋体"/>
          <w:sz w:val="21"/>
          <w:szCs w:val="21"/>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系统技术架构图</w:t>
      </w:r>
    </w:p>
    <w:p w14:paraId="39E46C1B">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15" w:name="_Toc5272"/>
      <w:r>
        <w:rPr>
          <w:rFonts w:hint="eastAsia" w:ascii="宋体" w:hAnsi="宋体" w:eastAsia="宋体" w:cs="宋体"/>
        </w:rPr>
        <w:t>3.1.2 功能模块设计</w:t>
      </w:r>
      <w:bookmarkEnd w:id="15"/>
    </w:p>
    <w:p w14:paraId="6E336B04">
      <w:pPr>
        <w:keepNext w:val="0"/>
        <w:keepLines w:val="0"/>
        <w:pageBreakBefore w:val="0"/>
        <w:widowControl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系统在逻辑层面上划分了明确的功能边界，主要涵盖七大核心模块，实现了从底层数据采集到顶层业务处理的完全解耦：</w:t>
      </w:r>
    </w:p>
    <w:p w14:paraId="76EB759B">
      <w:pPr>
        <w:keepNext w:val="0"/>
        <w:keepLines w:val="0"/>
        <w:pageBreakBefore w:val="0"/>
        <w:widowControl w:val="0"/>
        <w:kinsoku/>
        <w:wordWrap/>
        <w:overflowPunct/>
        <w:topLinePunct w:val="0"/>
        <w:autoSpaceDE/>
        <w:autoSpaceDN/>
        <w:bidi w:val="0"/>
        <w:adjustRightInd/>
        <w:spacing w:line="240" w:lineRule="auto"/>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5420" cy="1351915"/>
            <wp:effectExtent l="0" t="0" r="1905" b="635"/>
            <wp:docPr id="5" name="图片 5" descr="C:/Users/wubin/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wubin/Desktop/图片2.png图片2"/>
                    <pic:cNvPicPr>
                      <a:picLocks noChangeAspect="1"/>
                    </pic:cNvPicPr>
                  </pic:nvPicPr>
                  <pic:blipFill>
                    <a:blip r:embed="rId9"/>
                    <a:srcRect l="18" r="18"/>
                    <a:stretch>
                      <a:fillRect/>
                    </a:stretch>
                  </pic:blipFill>
                  <pic:spPr>
                    <a:xfrm>
                      <a:off x="0" y="0"/>
                      <a:ext cx="5265420" cy="1351915"/>
                    </a:xfrm>
                    <a:prstGeom prst="rect">
                      <a:avLst/>
                    </a:prstGeom>
                  </pic:spPr>
                </pic:pic>
              </a:graphicData>
            </a:graphic>
          </wp:inline>
        </w:drawing>
      </w:r>
    </w:p>
    <w:p w14:paraId="09D8A5FF">
      <w:pPr>
        <w:pStyle w:val="8"/>
        <w:keepNext w:val="0"/>
        <w:keepLines w:val="0"/>
        <w:pageBreakBefore w:val="0"/>
        <w:widowControl w:val="0"/>
        <w:kinsoku/>
        <w:wordWrap/>
        <w:overflowPunct/>
        <w:topLinePunct w:val="0"/>
        <w:autoSpaceDE/>
        <w:autoSpaceDN/>
        <w:bidi w:val="0"/>
        <w:adjustRightInd/>
        <w:spacing w:line="240" w:lineRule="auto"/>
        <w:ind w:firstLine="400" w:firstLineChars="200"/>
        <w:jc w:val="center"/>
        <w:textAlignment w:val="auto"/>
        <w:rPr>
          <w:rFonts w:hint="eastAsia" w:ascii="宋体" w:hAnsi="宋体" w:eastAsia="宋体" w:cs="宋体"/>
          <w:sz w:val="21"/>
          <w:szCs w:val="21"/>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功能模块结构图</w:t>
      </w:r>
    </w:p>
    <w:p w14:paraId="3381D50C">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（1）用户管理模块：</w:t>
      </w:r>
      <w:r>
        <w:rPr>
          <w:rFonts w:hint="eastAsia" w:ascii="宋体" w:hAnsi="宋体" w:eastAsia="宋体" w:cs="宋体"/>
          <w:sz w:val="21"/>
          <w:szCs w:val="21"/>
        </w:rPr>
        <w:t>依托基于角色的访问控制（RBAC）模型，严格区分全局管理员与普通运维人员，实现细粒度的系统准入控制与安全鉴权。</w:t>
      </w:r>
    </w:p>
    <w:p w14:paraId="68FE61D7">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（2）数据管理模块：</w:t>
      </w:r>
      <w:r>
        <w:rPr>
          <w:rFonts w:hint="eastAsia" w:ascii="宋体" w:hAnsi="宋体" w:eastAsia="宋体" w:cs="宋体"/>
          <w:sz w:val="21"/>
          <w:szCs w:val="21"/>
        </w:rPr>
        <w:t>构成平台的基础数据底座。负责处理电池生命周期高频时序数据的汇聚、增删改查，并提供多维度特征筛选与特征工程导出接口。</w:t>
      </w:r>
    </w:p>
    <w:p w14:paraId="2C776452">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（3）模型管理模块：</w:t>
      </w:r>
      <w:r>
        <w:rPr>
          <w:rFonts w:hint="eastAsia" w:ascii="宋体" w:hAnsi="宋体" w:eastAsia="宋体" w:cs="宋体"/>
          <w:sz w:val="21"/>
          <w:szCs w:val="21"/>
        </w:rPr>
        <w:t>专为深度学习实验设立的算法沙箱。负责接管BiLSTM、DeepHPM等拓扑网络的初始化、权重持久化保存、测试验证集划分及精度对齐比较。</w:t>
      </w:r>
    </w:p>
    <w:p w14:paraId="1CAA6390">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（4）预测分析模块：</w:t>
      </w:r>
      <w:r>
        <w:rPr>
          <w:rFonts w:hint="eastAsia" w:ascii="宋体" w:hAnsi="宋体" w:eastAsia="宋体" w:cs="宋体"/>
          <w:sz w:val="21"/>
          <w:szCs w:val="21"/>
        </w:rPr>
        <w:t>作为算力调度中枢，负责加载就绪的模型权重文件，前向推演电芯的SOH（健康状态）、RUL（剩余寿命）及PCL（容量衰减）等核心指标。</w:t>
      </w:r>
    </w:p>
    <w:p w14:paraId="32EF7D8C">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（5）告警管理模块：</w:t>
      </w:r>
      <w:r>
        <w:rPr>
          <w:rFonts w:hint="eastAsia" w:ascii="宋体" w:hAnsi="宋体" w:eastAsia="宋体" w:cs="宋体"/>
          <w:sz w:val="21"/>
          <w:szCs w:val="21"/>
        </w:rPr>
        <w:t>基于预测模块输出的特征张量与预设阶梯阈值，系统自动进行状态研判，生成包含健康、预警、故障在内的三级状态指示并推送拦截信号。</w:t>
      </w:r>
    </w:p>
    <w:p w14:paraId="3CB87E06">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（6）工单管理模块：</w:t>
      </w:r>
      <w:r>
        <w:rPr>
          <w:rFonts w:hint="eastAsia" w:ascii="宋体" w:hAnsi="宋体" w:eastAsia="宋体" w:cs="宋体"/>
          <w:sz w:val="21"/>
          <w:szCs w:val="21"/>
        </w:rPr>
        <w:t>彻底取代传统人工派单模式。一旦捕获异常，底层即刻拉起工单实体，在“创建-智能分配-处理-归档”链路中自动跃迁，并支持高权限的人工审核介入。</w:t>
      </w:r>
    </w:p>
    <w:p w14:paraId="72B1E233">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r>
        <w:rPr>
          <w:rFonts w:hint="eastAsia" w:ascii="宋体" w:hAnsi="宋体" w:eastAsia="宋体" w:cs="宋体"/>
          <w:b/>
          <w:bCs/>
          <w:sz w:val="21"/>
          <w:szCs w:val="21"/>
        </w:rPr>
        <w:t>（7）减碳核算模块：</w:t>
      </w:r>
      <w:r>
        <w:rPr>
          <w:rFonts w:hint="eastAsia" w:ascii="宋体" w:hAnsi="宋体" w:eastAsia="宋体" w:cs="宋体"/>
          <w:sz w:val="21"/>
          <w:szCs w:val="21"/>
        </w:rPr>
        <w:t>内嵌碳排放计算引擎，针对电池延寿和峰谷套利两种工业场景，动态匹配多种电池类型的碳排放因子，输出标准化的核查报表。</w:t>
      </w:r>
    </w:p>
    <w:p w14:paraId="4629C9C5">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宋体" w:hAnsi="宋体" w:eastAsia="宋体" w:cs="宋体"/>
        </w:rPr>
      </w:pPr>
      <w:bookmarkStart w:id="16" w:name="_Toc7871"/>
      <w:r>
        <w:rPr>
          <w:rFonts w:hint="eastAsia" w:ascii="宋体" w:hAnsi="宋体" w:eastAsia="宋体" w:cs="宋体"/>
        </w:rPr>
        <w:t>3.1.3 关键功能/算法设计</w:t>
      </w:r>
      <w:bookmarkEnd w:id="16"/>
    </w:p>
    <w:p w14:paraId="5580E92F">
      <w:pPr>
        <w:keepNext w:val="0"/>
        <w:keepLines w:val="0"/>
        <w:pageBreakBefore w:val="0"/>
        <w:widowControl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本系统核心技术壁垒建立在高精度的神经网络预测体系与严密的碳排放核算基准之上</w:t>
      </w:r>
      <w:r>
        <w:rPr>
          <w:rFonts w:hint="eastAsia" w:cs="宋体"/>
          <w:sz w:val="21"/>
          <w:szCs w:val="21"/>
          <w:lang w:eastAsia="zh-CN"/>
        </w:rPr>
        <w:t>，</w:t>
      </w:r>
      <w:r>
        <w:rPr>
          <w:rFonts w:hint="eastAsia" w:ascii="宋体" w:hAnsi="宋体" w:eastAsia="宋体" w:cs="宋体"/>
          <w:sz w:val="21"/>
          <w:szCs w:val="21"/>
        </w:rPr>
        <w:t>核心算法是基于深度学习的电池SOH预测算法，主要采用BiLSTM和DeepHPM两种模型。</w:t>
      </w:r>
    </w:p>
    <w:p w14:paraId="1185A305">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 xml:space="preserve">1. 基于 BiLSTM 的 SOH 时序预测模型 </w:t>
      </w:r>
    </w:p>
    <w:p w14:paraId="47D31C5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针对电池容量衰减过程中的非线性时序依赖，系统构建了双向长短期记忆网络（BiLSTM）。模型底层接收包含电压、电流、温度、容量、内阻、SOC、SOH及功率的8维时间序列张量作为输入。隐层内部的双向LSTM单元同步提取前序与后序序列中的深层特征，最终经由全连接层（FC Layer）降维至单一的SOH标量输出。在反向传播阶段，模型以均方误差（MSE）作为损失函数，并辅以Adam优化算法动态调整网络权重以避免梯度消失。</w:t>
      </w:r>
    </w:p>
    <w:p w14:paraId="2606BE96">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bCs/>
          <w:sz w:val="21"/>
          <w:szCs w:val="21"/>
        </w:rPr>
      </w:pPr>
      <w:r>
        <w:rPr>
          <w:rFonts w:hint="default" w:ascii="宋体" w:hAnsi="宋体" w:eastAsia="宋体" w:cs="宋体"/>
          <w:b/>
          <w:bCs/>
          <w:sz w:val="21"/>
          <w:szCs w:val="21"/>
        </w:rPr>
        <w:t>2. 梯队式智能预警机制</w:t>
      </w:r>
    </w:p>
    <w:p w14:paraId="6323F839">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为规避单点数值抖动引发的告警风暴，平台部署了梯队式故障隔离策略。设定异常电芯占比为</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P</m:t>
            </m:r>
            <m:ctrlPr>
              <w:rPr>
                <w:rFonts w:ascii="Cambria Math" w:hAnsi="Cambria Math" w:cs="宋体"/>
                <w:i/>
                <w:sz w:val="21"/>
                <w:szCs w:val="21"/>
              </w:rPr>
            </m:ctrlPr>
          </m:e>
          <m:sub>
            <m:r>
              <m:rPr/>
              <w:rPr>
                <w:rFonts w:hint="default" w:ascii="Cambria Math" w:hAnsi="Cambria Math" w:cs="宋体"/>
                <w:sz w:val="21"/>
                <w:szCs w:val="21"/>
                <w:lang w:val="en-US" w:eastAsia="zh-CN"/>
              </w:rPr>
              <m:t>err</m:t>
            </m:r>
            <m:ctrlPr>
              <w:rPr>
                <w:rFonts w:ascii="Cambria Math" w:hAnsi="Cambria Math" w:cs="宋体"/>
                <w:i/>
                <w:sz w:val="21"/>
                <w:szCs w:val="21"/>
              </w:rPr>
            </m:ctrlPr>
          </m:sub>
        </m:sSub>
      </m:oMath>
      <w:r>
        <w:rPr>
          <w:rFonts w:hint="default" w:ascii="宋体" w:hAnsi="宋体" w:eastAsia="宋体" w:cs="宋体"/>
          <w:sz w:val="21"/>
          <w:szCs w:val="21"/>
        </w:rPr>
        <w:t>：</w:t>
      </w:r>
    </w:p>
    <w:p w14:paraId="748CD3F6">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健康（绿态）：当</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P</m:t>
            </m:r>
            <m:ctrlPr>
              <w:rPr>
                <w:rFonts w:ascii="Cambria Math" w:hAnsi="Cambria Math" w:cs="宋体"/>
                <w:i/>
                <w:sz w:val="21"/>
                <w:szCs w:val="21"/>
              </w:rPr>
            </m:ctrlPr>
          </m:e>
          <m:sub>
            <m:r>
              <m:rPr/>
              <w:rPr>
                <w:rFonts w:hint="default" w:ascii="Cambria Math" w:hAnsi="Cambria Math" w:cs="宋体"/>
                <w:sz w:val="21"/>
                <w:szCs w:val="21"/>
                <w:lang w:val="en-US" w:eastAsia="zh-CN"/>
              </w:rPr>
              <m:t>err</m:t>
            </m:r>
            <m:ctrlPr>
              <w:rPr>
                <w:rFonts w:ascii="Cambria Math" w:hAnsi="Cambria Math" w:cs="宋体"/>
                <w:i/>
                <w:sz w:val="21"/>
                <w:szCs w:val="21"/>
              </w:rPr>
            </m:ctrlPr>
          </m:sub>
        </m:sSub>
      </m:oMath>
      <w:r>
        <w:rPr>
          <w:rFonts w:hint="eastAsia" w:ascii="宋体" w:hAnsi="宋体" w:eastAsia="宋体" w:cs="宋体"/>
          <w:sz w:val="21"/>
          <w:szCs w:val="21"/>
          <w:lang w:val="en-US" w:eastAsia="zh-CN"/>
        </w:rPr>
        <w:t>＜</w:t>
      </w:r>
      <w:r>
        <w:rPr>
          <w:rFonts w:hint="default" w:ascii="宋体" w:hAnsi="宋体" w:eastAsia="宋体" w:cs="宋体"/>
          <w:sz w:val="21"/>
          <w:szCs w:val="21"/>
        </w:rPr>
        <w:t>5%且无三级严重故障电芯记录时，判定安全</w:t>
      </w:r>
      <w:r>
        <w:rPr>
          <w:rFonts w:hint="eastAsia" w:ascii="宋体" w:hAnsi="宋体" w:eastAsia="宋体" w:cs="宋体"/>
          <w:sz w:val="21"/>
          <w:szCs w:val="21"/>
          <w:lang w:val="en-US" w:eastAsia="zh-CN"/>
        </w:rPr>
        <w:t>并</w:t>
      </w:r>
      <w:r>
        <w:rPr>
          <w:rFonts w:hint="default" w:ascii="宋体" w:hAnsi="宋体" w:eastAsia="宋体" w:cs="宋体"/>
          <w:sz w:val="21"/>
          <w:szCs w:val="21"/>
        </w:rPr>
        <w:t>保持静默监控。</w:t>
      </w:r>
    </w:p>
    <w:p w14:paraId="4E7C7F02">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预警（黄态）：若条件满足5%</w:t>
      </w:r>
      <w:r>
        <w:rPr>
          <w:rFonts w:hint="eastAsia" w:ascii="宋体" w:hAnsi="宋体" w:eastAsia="宋体" w:cs="宋体"/>
          <w:sz w:val="21"/>
          <w:szCs w:val="21"/>
          <w:lang w:val="en-US" w:eastAsia="zh-CN"/>
        </w:rPr>
        <w:t>＜</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P</m:t>
            </m:r>
            <m:ctrlPr>
              <w:rPr>
                <w:rFonts w:ascii="Cambria Math" w:hAnsi="Cambria Math" w:cs="宋体"/>
                <w:i/>
                <w:sz w:val="21"/>
                <w:szCs w:val="21"/>
              </w:rPr>
            </m:ctrlPr>
          </m:e>
          <m:sub>
            <m:r>
              <m:rPr/>
              <w:rPr>
                <w:rFonts w:hint="default" w:ascii="Cambria Math" w:hAnsi="Cambria Math" w:cs="宋体"/>
                <w:sz w:val="21"/>
                <w:szCs w:val="21"/>
                <w:lang w:val="en-US" w:eastAsia="zh-CN"/>
              </w:rPr>
              <m:t>err</m:t>
            </m:r>
            <m:ctrlPr>
              <w:rPr>
                <w:rFonts w:ascii="Cambria Math" w:hAnsi="Cambria Math" w:cs="宋体"/>
                <w:i/>
                <w:sz w:val="21"/>
                <w:szCs w:val="21"/>
              </w:rPr>
            </m:ctrlPr>
          </m:sub>
        </m:sSub>
      </m:oMath>
      <w:r>
        <w:rPr>
          <w:rFonts w:hint="eastAsia" w:ascii="宋体" w:hAnsi="宋体" w:eastAsia="宋体" w:cs="宋体"/>
          <w:sz w:val="21"/>
          <w:szCs w:val="21"/>
          <w:lang w:val="en-US" w:eastAsia="zh-CN"/>
        </w:rPr>
        <w:t>＜1</w:t>
      </w:r>
      <w:r>
        <w:rPr>
          <w:rFonts w:hint="default" w:ascii="宋体" w:hAnsi="宋体" w:eastAsia="宋体" w:cs="宋体"/>
          <w:sz w:val="21"/>
          <w:szCs w:val="21"/>
        </w:rPr>
        <w:t>0%且未波及三级故障阈值，触发非紧急巡检指令以提示关注。</w:t>
      </w:r>
    </w:p>
    <w:p w14:paraId="6ACB94DD">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故障（红态）：一旦</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P</m:t>
            </m:r>
            <m:ctrlPr>
              <w:rPr>
                <w:rFonts w:ascii="Cambria Math" w:hAnsi="Cambria Math" w:cs="宋体"/>
                <w:i/>
                <w:sz w:val="21"/>
                <w:szCs w:val="21"/>
              </w:rPr>
            </m:ctrlPr>
          </m:e>
          <m:sub>
            <m:r>
              <m:rPr/>
              <w:rPr>
                <w:rFonts w:hint="default" w:ascii="Cambria Math" w:hAnsi="Cambria Math" w:cs="宋体"/>
                <w:sz w:val="21"/>
                <w:szCs w:val="21"/>
                <w:lang w:val="en-US" w:eastAsia="zh-CN"/>
              </w:rPr>
              <m:t>err</m:t>
            </m:r>
            <m:ctrlPr>
              <w:rPr>
                <w:rFonts w:ascii="Cambria Math" w:hAnsi="Cambria Math" w:cs="宋体"/>
                <w:i/>
                <w:sz w:val="21"/>
                <w:szCs w:val="21"/>
              </w:rPr>
            </m:ctrlPr>
          </m:sub>
        </m:sSub>
      </m:oMath>
      <w:r>
        <w:rPr>
          <w:rFonts w:hint="eastAsia" w:ascii="宋体" w:hAnsi="宋体" w:eastAsia="宋体" w:cs="宋体"/>
          <w:sz w:val="21"/>
          <w:szCs w:val="21"/>
          <w:lang w:val="en-US" w:eastAsia="zh-CN"/>
        </w:rPr>
        <w:t>＜</w:t>
      </w:r>
      <w:r>
        <w:rPr>
          <w:rFonts w:hint="default" w:ascii="宋体" w:hAnsi="宋体" w:eastAsia="宋体" w:cs="宋体"/>
          <w:sz w:val="21"/>
          <w:szCs w:val="21"/>
        </w:rPr>
        <w:t>10%或捕获到任意单体三级严重故障，系统立即切断常态流程，强制拉响最高级别故障警报。</w:t>
      </w:r>
    </w:p>
    <w:p w14:paraId="5B6B5AA6">
      <w:pPr>
        <w:keepNext w:val="0"/>
        <w:keepLines w:val="0"/>
        <w:pageBreakBefore w:val="0"/>
        <w:widowControl w:val="0"/>
        <w:kinsoku/>
        <w:wordWrap/>
        <w:overflowPunct/>
        <w:topLinePunct w:val="0"/>
        <w:autoSpaceDE/>
        <w:autoSpaceDN/>
        <w:bidi w:val="0"/>
        <w:adjustRightInd/>
        <w:spacing w:line="240" w:lineRule="auto"/>
        <w:textAlignment w:val="auto"/>
        <w:rPr>
          <w:rFonts w:hint="default" w:ascii="宋体" w:hAnsi="宋体" w:eastAsia="宋体" w:cs="宋体"/>
          <w:b/>
          <w:bCs/>
          <w:sz w:val="21"/>
          <w:szCs w:val="21"/>
        </w:rPr>
      </w:pPr>
      <w:r>
        <w:rPr>
          <w:rFonts w:hint="default" w:ascii="宋体" w:hAnsi="宋体" w:eastAsia="宋体" w:cs="宋体"/>
          <w:b/>
          <w:bCs/>
          <w:sz w:val="21"/>
          <w:szCs w:val="21"/>
        </w:rPr>
        <w:t xml:space="preserve">3. 双维度减碳核算算法 </w:t>
      </w:r>
    </w:p>
    <w:p w14:paraId="7E9A2EAE">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引擎严格依循双维度物理模型量化环境经济学价值。</w:t>
      </w:r>
    </w:p>
    <w:p w14:paraId="2A92F81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电池延寿减碳量核算公式为：</w:t>
      </w:r>
    </w:p>
    <w:p w14:paraId="16E44402">
      <w:pPr>
        <w:keepNext w:val="0"/>
        <w:keepLines w:val="0"/>
        <w:pageBreakBefore w:val="0"/>
        <w:widowControl w:val="0"/>
        <w:kinsoku/>
        <w:wordWrap/>
        <w:overflowPunct/>
        <w:topLinePunct w:val="0"/>
        <w:autoSpaceDE/>
        <w:autoSpaceDN/>
        <w:bidi w:val="0"/>
        <w:adjustRightInd/>
        <w:snapToGrid/>
        <w:spacing w:line="276" w:lineRule="auto"/>
        <w:ind w:firstLine="440" w:firstLineChars="200"/>
        <w:textAlignment w:val="auto"/>
        <w:rPr>
          <w:rFonts w:hint="default" w:hAnsi="Cambria Math" w:eastAsia="宋体" w:cs="宋体"/>
          <w:i w:val="0"/>
          <w:sz w:val="22"/>
          <w:szCs w:val="22"/>
        </w:rPr>
      </w:pPr>
      <m:oMathPara>
        <m:oMath>
          <m:sSub>
            <m:sSubPr>
              <m:ctrlPr>
                <w:rPr>
                  <w:rFonts w:hint="default" w:ascii="Cambria Math" w:hAnsi="Cambria Math" w:eastAsia="宋体" w:cs="宋体"/>
                  <w:sz w:val="22"/>
                  <w:szCs w:val="22"/>
                </w:rPr>
              </m:ctrlPr>
            </m:sSubPr>
            <m:e>
              <m:r>
                <m:rPr>
                  <m:sty m:val="p"/>
                </m:rPr>
                <w:rPr>
                  <w:rFonts w:hint="default" w:ascii="Cambria Math" w:hAnsi="Cambria Math" w:eastAsia="宋体" w:cs="宋体"/>
                  <w:sz w:val="22"/>
                  <w:szCs w:val="22"/>
                </w:rPr>
                <m:t>C</m:t>
              </m:r>
              <m:ctrlPr>
                <w:rPr>
                  <w:rFonts w:hint="default" w:ascii="Cambria Math" w:hAnsi="Cambria Math" w:eastAsia="宋体" w:cs="宋体"/>
                  <w:sz w:val="22"/>
                  <w:szCs w:val="22"/>
                </w:rPr>
              </m:ctrlPr>
            </m:e>
            <m:sub>
              <m:r>
                <m:rPr>
                  <m:sty m:val="p"/>
                </m:rPr>
                <w:rPr>
                  <w:rFonts w:hint="default" w:ascii="Cambria Math" w:hAnsi="Cambria Math" w:eastAsia="宋体" w:cs="宋体"/>
                  <w:sz w:val="22"/>
                  <w:szCs w:val="22"/>
                </w:rPr>
                <m:t>ext</m:t>
              </m:r>
              <m:ctrlPr>
                <w:rPr>
                  <w:rFonts w:hint="default" w:ascii="Cambria Math" w:hAnsi="Cambria Math" w:eastAsia="宋体" w:cs="宋体"/>
                  <w:sz w:val="22"/>
                  <w:szCs w:val="22"/>
                </w:rPr>
              </m:ctrlPr>
            </m:sub>
          </m:sSub>
          <m:r>
            <m:rPr>
              <m:sty m:val="p"/>
            </m:rPr>
            <w:rPr>
              <w:rFonts w:hint="default" w:ascii="Cambria Math" w:hAnsi="Cambria Math" w:eastAsia="宋体" w:cs="宋体"/>
              <w:sz w:val="22"/>
              <w:szCs w:val="22"/>
            </w:rPr>
            <m:t>=</m:t>
          </m:r>
          <m:f>
            <m:fPr>
              <m:ctrlPr>
                <w:rPr>
                  <w:rFonts w:hint="default" w:ascii="Cambria Math" w:hAnsi="Cambria Math" w:eastAsia="宋体" w:cs="宋体"/>
                  <w:sz w:val="22"/>
                  <w:szCs w:val="22"/>
                </w:rPr>
              </m:ctrlPr>
            </m:fPr>
            <m:num>
              <m:r>
                <m:rPr>
                  <m:sty m:val="p"/>
                </m:rPr>
                <w:rPr>
                  <w:rFonts w:hint="default" w:ascii="Cambria Math" w:hAnsi="Cambria Math" w:eastAsia="宋体" w:cs="宋体"/>
                  <w:sz w:val="22"/>
                  <w:szCs w:val="22"/>
                </w:rPr>
                <m:t>Cap×</m:t>
              </m:r>
              <m:sSub>
                <m:sSubPr>
                  <m:ctrlPr>
                    <w:rPr>
                      <w:rFonts w:hint="default" w:ascii="Cambria Math" w:hAnsi="Cambria Math" w:eastAsia="宋体" w:cs="宋体"/>
                      <w:sz w:val="22"/>
                      <w:szCs w:val="22"/>
                    </w:rPr>
                  </m:ctrlPr>
                </m:sSubPr>
                <m:e>
                  <m:r>
                    <m:rPr>
                      <m:sty m:val="p"/>
                    </m:rPr>
                    <w:rPr>
                      <w:rFonts w:hint="default" w:ascii="Cambria Math" w:hAnsi="Cambria Math" w:eastAsia="宋体" w:cs="宋体"/>
                      <w:sz w:val="22"/>
                      <w:szCs w:val="22"/>
                    </w:rPr>
                    <m:t>R</m:t>
                  </m:r>
                  <m:ctrlPr>
                    <w:rPr>
                      <w:rFonts w:hint="default" w:ascii="Cambria Math" w:hAnsi="Cambria Math" w:eastAsia="宋体" w:cs="宋体"/>
                      <w:sz w:val="22"/>
                      <w:szCs w:val="22"/>
                    </w:rPr>
                  </m:ctrlPr>
                </m:e>
                <m:sub>
                  <m:r>
                    <m:rPr>
                      <m:sty m:val="p"/>
                    </m:rPr>
                    <w:rPr>
                      <w:rFonts w:hint="default" w:ascii="Cambria Math" w:hAnsi="Cambria Math" w:eastAsia="宋体" w:cs="宋体"/>
                      <w:sz w:val="22"/>
                      <w:szCs w:val="22"/>
                    </w:rPr>
                    <m:t>ext</m:t>
                  </m:r>
                  <m:ctrlPr>
                    <w:rPr>
                      <w:rFonts w:hint="default" w:ascii="Cambria Math" w:hAnsi="Cambria Math" w:eastAsia="宋体" w:cs="宋体"/>
                      <w:sz w:val="22"/>
                      <w:szCs w:val="22"/>
                    </w:rPr>
                  </m:ctrlPr>
                </m:sub>
              </m:sSub>
              <m:r>
                <m:rPr>
                  <m:sty m:val="p"/>
                </m:rPr>
                <w:rPr>
                  <w:rFonts w:hint="default" w:ascii="Cambria Math" w:hAnsi="Cambria Math" w:eastAsia="宋体" w:cs="宋体"/>
                  <w:sz w:val="22"/>
                  <w:szCs w:val="22"/>
                </w:rPr>
                <m:t>×</m:t>
              </m:r>
              <m:sSub>
                <m:sSubPr>
                  <m:ctrlPr>
                    <w:rPr>
                      <w:rFonts w:hint="default" w:ascii="Cambria Math" w:hAnsi="Cambria Math" w:eastAsia="宋体" w:cs="宋体"/>
                      <w:sz w:val="22"/>
                      <w:szCs w:val="22"/>
                    </w:rPr>
                  </m:ctrlPr>
                </m:sSubPr>
                <m:e>
                  <m:r>
                    <m:rPr>
                      <m:sty m:val="p"/>
                    </m:rPr>
                    <w:rPr>
                      <w:rFonts w:hint="default" w:ascii="Cambria Math" w:hAnsi="Cambria Math" w:eastAsia="宋体" w:cs="宋体"/>
                      <w:sz w:val="22"/>
                      <w:szCs w:val="22"/>
                    </w:rPr>
                    <m:t>E</m:t>
                  </m:r>
                  <m:ctrlPr>
                    <w:rPr>
                      <w:rFonts w:hint="default" w:ascii="Cambria Math" w:hAnsi="Cambria Math" w:eastAsia="宋体" w:cs="宋体"/>
                      <w:sz w:val="22"/>
                      <w:szCs w:val="22"/>
                    </w:rPr>
                  </m:ctrlPr>
                </m:e>
                <m:sub>
                  <m:r>
                    <m:rPr>
                      <m:sty m:val="p"/>
                    </m:rPr>
                    <w:rPr>
                      <w:rFonts w:hint="default" w:ascii="Cambria Math" w:hAnsi="Cambria Math" w:eastAsia="宋体" w:cs="宋体"/>
                      <w:sz w:val="22"/>
                      <w:szCs w:val="22"/>
                    </w:rPr>
                    <m:t>factor</m:t>
                  </m:r>
                  <m:ctrlPr>
                    <w:rPr>
                      <w:rFonts w:hint="default" w:ascii="Cambria Math" w:hAnsi="Cambria Math" w:eastAsia="宋体" w:cs="宋体"/>
                      <w:sz w:val="22"/>
                      <w:szCs w:val="22"/>
                    </w:rPr>
                  </m:ctrlPr>
                </m:sub>
              </m:sSub>
              <m:ctrlPr>
                <w:rPr>
                  <w:rFonts w:hint="default" w:ascii="Cambria Math" w:hAnsi="Cambria Math" w:eastAsia="宋体" w:cs="宋体"/>
                  <w:sz w:val="22"/>
                  <w:szCs w:val="22"/>
                </w:rPr>
              </m:ctrlPr>
            </m:num>
            <m:den>
              <m:r>
                <m:rPr>
                  <m:sty m:val="p"/>
                </m:rPr>
                <w:rPr>
                  <w:rFonts w:hint="default" w:ascii="Cambria Math" w:hAnsi="Cambria Math" w:eastAsia="宋体" w:cs="宋体"/>
                  <w:sz w:val="22"/>
                  <w:szCs w:val="22"/>
                </w:rPr>
                <m:t>1000</m:t>
              </m:r>
              <m:ctrlPr>
                <w:rPr>
                  <w:rFonts w:hint="default" w:ascii="Cambria Math" w:hAnsi="Cambria Math" w:eastAsia="宋体" w:cs="宋体"/>
                  <w:sz w:val="22"/>
                  <w:szCs w:val="22"/>
                </w:rPr>
              </m:ctrlPr>
            </m:den>
          </m:f>
        </m:oMath>
      </m:oMathPara>
    </w:p>
    <w:p w14:paraId="4174631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其中：</w:t>
      </w:r>
      <w:r>
        <w:rPr>
          <w:rFonts w:hint="eastAsia" w:ascii="宋体" w:hAnsi="宋体" w:eastAsia="宋体" w:cs="宋体"/>
          <w:sz w:val="21"/>
          <w:szCs w:val="21"/>
        </w:rPr>
        <w:t xml:space="preserve"> </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C</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ext</m:t>
            </m:r>
            <m:ctrlPr>
              <w:rPr>
                <w:rFonts w:ascii="Cambria Math" w:hAnsi="Cambria Math" w:cs="宋体"/>
                <w:i/>
                <w:sz w:val="21"/>
                <w:szCs w:val="21"/>
                <w:lang w:val="en-US"/>
              </w:rPr>
            </m:ctrlPr>
          </m:sub>
        </m:sSub>
      </m:oMath>
      <w:r>
        <w:rPr>
          <w:rFonts w:hint="default" w:ascii="宋体" w:hAnsi="宋体" w:eastAsia="宋体" w:cs="宋体"/>
          <w:sz w:val="21"/>
          <w:szCs w:val="21"/>
        </w:rPr>
        <w:t>：延寿减碳量</w:t>
      </w:r>
      <w:r>
        <w:rPr>
          <w:rFonts w:hint="eastAsia" w:cs="宋体"/>
          <w:sz w:val="21"/>
          <w:szCs w:val="21"/>
          <w:lang w:eastAsia="zh-CN"/>
        </w:rPr>
        <w:t>，</w:t>
      </w:r>
      <w:r>
        <w:rPr>
          <w:rFonts w:hint="default" w:ascii="宋体" w:hAnsi="宋体" w:eastAsia="宋体" w:cs="宋体"/>
          <w:sz w:val="21"/>
          <w:szCs w:val="21"/>
        </w:rPr>
        <w:t>定义为在延寿周期内产生的碳减排量</w:t>
      </w:r>
      <w:r>
        <w:rPr>
          <w:rFonts w:hint="eastAsia" w:cs="宋体"/>
          <w:sz w:val="21"/>
          <w:szCs w:val="21"/>
          <w:lang w:eastAsia="zh-CN"/>
        </w:rPr>
        <w:t>；</w:t>
      </w:r>
      <m:oMath>
        <m:r>
          <m:rPr/>
          <w:rPr>
            <w:rFonts w:hint="default" w:ascii="Cambria Math" w:hAnsi="Cambria Math" w:cs="宋体"/>
            <w:sz w:val="21"/>
            <w:szCs w:val="21"/>
            <w:lang w:val="en-US" w:eastAsia="zh-CN"/>
          </w:rPr>
          <m:t>Cap</m:t>
        </m:r>
      </m:oMath>
      <w:r>
        <w:rPr>
          <w:rFonts w:hint="default" w:ascii="宋体" w:hAnsi="宋体" w:eastAsia="宋体" w:cs="宋体"/>
          <w:sz w:val="21"/>
          <w:szCs w:val="21"/>
        </w:rPr>
        <w:t>：储能系统额定容量</w:t>
      </w:r>
      <w:r>
        <w:rPr>
          <w:rFonts w:hint="eastAsia" w:cs="宋体"/>
          <w:sz w:val="21"/>
          <w:szCs w:val="21"/>
          <w:lang w:eastAsia="zh-CN"/>
        </w:rPr>
        <w:t>，</w:t>
      </w:r>
      <w:r>
        <w:rPr>
          <w:rFonts w:hint="default" w:ascii="宋体" w:hAnsi="宋体" w:eastAsia="宋体" w:cs="宋体"/>
          <w:sz w:val="21"/>
          <w:szCs w:val="21"/>
        </w:rPr>
        <w:t>指代储能柜整体的设计容量</w:t>
      </w:r>
      <w:r>
        <w:rPr>
          <w:rFonts w:hint="eastAsia" w:cs="宋体"/>
          <w:sz w:val="21"/>
          <w:szCs w:val="21"/>
          <w:lang w:eastAsia="zh-CN"/>
        </w:rPr>
        <w:t>；</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R</m:t>
            </m:r>
            <m:ctrlPr>
              <w:rPr>
                <w:rFonts w:ascii="Cambria Math" w:hAnsi="Cambria Math" w:cs="宋体"/>
                <w:i/>
                <w:sz w:val="21"/>
                <w:szCs w:val="21"/>
              </w:rPr>
            </m:ctrlPr>
          </m:e>
          <m:sub>
            <m:r>
              <m:rPr/>
              <w:rPr>
                <w:rFonts w:hint="default" w:ascii="Cambria Math" w:hAnsi="Cambria Math" w:cs="宋体"/>
                <w:sz w:val="21"/>
                <w:szCs w:val="21"/>
                <w:lang w:val="en-US" w:eastAsia="zh-CN"/>
              </w:rPr>
              <m:t>ext</m:t>
            </m:r>
            <m:ctrlPr>
              <w:rPr>
                <w:rFonts w:ascii="Cambria Math" w:hAnsi="Cambria Math" w:cs="宋体"/>
                <w:i/>
                <w:sz w:val="21"/>
                <w:szCs w:val="21"/>
              </w:rPr>
            </m:ctrlPr>
          </m:sub>
        </m:sSub>
      </m:oMath>
      <w:r>
        <w:rPr>
          <w:rFonts w:hint="default" w:ascii="宋体" w:hAnsi="宋体" w:eastAsia="宋体" w:cs="宋体"/>
          <w:sz w:val="21"/>
          <w:szCs w:val="21"/>
        </w:rPr>
        <w:t>：物理延寿比例</w:t>
      </w:r>
      <w:r>
        <w:rPr>
          <w:rFonts w:hint="eastAsia" w:cs="宋体"/>
          <w:sz w:val="21"/>
          <w:szCs w:val="21"/>
          <w:lang w:eastAsia="zh-CN"/>
        </w:rPr>
        <w:t>，</w:t>
      </w:r>
      <w:r>
        <w:rPr>
          <w:rFonts w:hint="default" w:ascii="宋体" w:hAnsi="宋体" w:eastAsia="宋体" w:cs="宋体"/>
          <w:sz w:val="21"/>
          <w:szCs w:val="21"/>
        </w:rPr>
        <w:t>即经过AI预测策略介入后，</w:t>
      </w:r>
      <w:bookmarkStart w:id="40" w:name="_GoBack"/>
      <w:bookmarkEnd w:id="40"/>
      <w:r>
        <w:rPr>
          <w:rFonts w:hint="default" w:ascii="宋体" w:hAnsi="宋体" w:eastAsia="宋体" w:cs="宋体"/>
          <w:sz w:val="21"/>
          <w:szCs w:val="21"/>
        </w:rPr>
        <w:t>实际获取的电池寿命延长比率</w:t>
      </w:r>
      <w:r>
        <w:rPr>
          <w:rFonts w:hint="eastAsia" w:cs="宋体"/>
          <w:sz w:val="21"/>
          <w:szCs w:val="21"/>
          <w:lang w:eastAsia="zh-CN"/>
        </w:rPr>
        <w:t>；</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E</m:t>
            </m:r>
            <m:ctrlPr>
              <w:rPr>
                <w:rFonts w:ascii="Cambria Math" w:hAnsi="Cambria Math" w:cs="宋体"/>
                <w:i/>
                <w:sz w:val="21"/>
                <w:szCs w:val="21"/>
              </w:rPr>
            </m:ctrlPr>
          </m:e>
          <m:sub>
            <m:r>
              <m:rPr/>
              <w:rPr>
                <w:rFonts w:hint="default" w:ascii="Cambria Math" w:hAnsi="Cambria Math" w:cs="宋体"/>
                <w:sz w:val="21"/>
                <w:szCs w:val="21"/>
                <w:lang w:val="en-US" w:eastAsia="zh-CN"/>
              </w:rPr>
              <m:t>factor</m:t>
            </m:r>
            <m:ctrlPr>
              <w:rPr>
                <w:rFonts w:ascii="Cambria Math" w:hAnsi="Cambria Math" w:cs="宋体"/>
                <w:i/>
                <w:sz w:val="21"/>
                <w:szCs w:val="21"/>
              </w:rPr>
            </m:ctrlPr>
          </m:sub>
        </m:sSub>
      </m:oMath>
      <w:r>
        <w:rPr>
          <w:rFonts w:hint="default" w:ascii="宋体" w:hAnsi="宋体" w:eastAsia="宋体" w:cs="宋体"/>
          <w:sz w:val="21"/>
          <w:szCs w:val="21"/>
        </w:rPr>
        <w:t>：碳排放当量因子</w:t>
      </w:r>
      <w:r>
        <w:rPr>
          <w:rFonts w:hint="eastAsia" w:cs="宋体"/>
          <w:sz w:val="21"/>
          <w:szCs w:val="21"/>
          <w:lang w:eastAsia="zh-CN"/>
        </w:rPr>
        <w:t>，</w:t>
      </w:r>
      <w:r>
        <w:rPr>
          <w:rFonts w:hint="default" w:ascii="宋体" w:hAnsi="宋体" w:eastAsia="宋体" w:cs="宋体"/>
          <w:sz w:val="21"/>
          <w:szCs w:val="21"/>
        </w:rPr>
        <w:t>对应磷酸铁锂、三元锂等不同电池物理材质的碳排</w:t>
      </w:r>
      <w:r>
        <w:rPr>
          <w:rFonts w:hint="eastAsia" w:cs="宋体"/>
          <w:sz w:val="21"/>
          <w:szCs w:val="21"/>
          <w:lang w:val="en-US" w:eastAsia="zh-CN"/>
        </w:rPr>
        <w:t>系数。</w:t>
      </w:r>
    </w:p>
    <w:p w14:paraId="776F3B89">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ascii="宋体" w:hAnsi="宋体" w:eastAsia="宋体" w:cs="宋体"/>
          <w:sz w:val="21"/>
          <w:szCs w:val="21"/>
        </w:rPr>
      </w:pPr>
      <w:r>
        <w:rPr>
          <w:rFonts w:hint="default" w:ascii="宋体" w:hAnsi="宋体" w:eastAsia="宋体" w:cs="宋体"/>
          <w:sz w:val="21"/>
          <w:szCs w:val="21"/>
        </w:rPr>
        <w:t>峰谷套利减碳量核算公式为：</w:t>
      </w:r>
    </w:p>
    <w:p w14:paraId="10B87023">
      <w:pPr>
        <w:keepNext w:val="0"/>
        <w:keepLines w:val="0"/>
        <w:pageBreakBefore w:val="0"/>
        <w:widowControl w:val="0"/>
        <w:kinsoku/>
        <w:wordWrap/>
        <w:overflowPunct/>
        <w:topLinePunct w:val="0"/>
        <w:autoSpaceDE/>
        <w:autoSpaceDN/>
        <w:bidi w:val="0"/>
        <w:adjustRightInd/>
        <w:snapToGrid/>
        <w:spacing w:line="276" w:lineRule="auto"/>
        <w:ind w:firstLine="440" w:firstLineChars="200"/>
        <w:textAlignment w:val="auto"/>
        <w:rPr>
          <w:rFonts w:hint="default" w:hAnsi="Cambria Math" w:eastAsia="宋体" w:cs="宋体"/>
          <w:i w:val="0"/>
          <w:sz w:val="22"/>
          <w:szCs w:val="22"/>
        </w:rPr>
      </w:pPr>
      <m:oMathPara>
        <m:oMath>
          <m:sSub>
            <m:sSubPr>
              <m:ctrlPr>
                <w:rPr>
                  <w:rFonts w:hint="default" w:ascii="Cambria Math" w:hAnsi="Cambria Math" w:eastAsia="宋体" w:cs="宋体"/>
                  <w:sz w:val="22"/>
                  <w:szCs w:val="22"/>
                </w:rPr>
              </m:ctrlPr>
            </m:sSubPr>
            <m:e>
              <m:r>
                <m:rPr>
                  <m:sty m:val="p"/>
                </m:rPr>
                <w:rPr>
                  <w:rFonts w:hint="default" w:ascii="Cambria Math" w:hAnsi="Cambria Math" w:eastAsia="宋体" w:cs="宋体"/>
                  <w:sz w:val="22"/>
                  <w:szCs w:val="22"/>
                </w:rPr>
                <m:t>C</m:t>
              </m:r>
              <m:ctrlPr>
                <w:rPr>
                  <w:rFonts w:hint="default" w:ascii="Cambria Math" w:hAnsi="Cambria Math" w:eastAsia="宋体" w:cs="宋体"/>
                  <w:sz w:val="22"/>
                  <w:szCs w:val="22"/>
                </w:rPr>
              </m:ctrlPr>
            </m:e>
            <m:sub>
              <m:r>
                <m:rPr>
                  <m:sty m:val="p"/>
                </m:rPr>
                <w:rPr>
                  <w:rFonts w:hint="default" w:ascii="Cambria Math" w:hAnsi="Cambria Math" w:eastAsia="宋体" w:cs="宋体"/>
                  <w:sz w:val="22"/>
                  <w:szCs w:val="22"/>
                </w:rPr>
                <m:t>pv</m:t>
              </m:r>
              <m:ctrlPr>
                <w:rPr>
                  <w:rFonts w:hint="default" w:ascii="Cambria Math" w:hAnsi="Cambria Math" w:eastAsia="宋体" w:cs="宋体"/>
                  <w:sz w:val="22"/>
                  <w:szCs w:val="22"/>
                </w:rPr>
              </m:ctrlPr>
            </m:sub>
          </m:sSub>
          <m:r>
            <m:rPr>
              <m:sty m:val="p"/>
            </m:rPr>
            <w:rPr>
              <w:rFonts w:hint="default" w:ascii="Cambria Math" w:hAnsi="Cambria Math" w:eastAsia="宋体" w:cs="宋体"/>
              <w:sz w:val="22"/>
              <w:szCs w:val="22"/>
            </w:rPr>
            <m:t>=</m:t>
          </m:r>
          <m:f>
            <m:fPr>
              <m:ctrlPr>
                <w:rPr>
                  <w:rFonts w:hint="default" w:ascii="Cambria Math" w:hAnsi="Cambria Math" w:eastAsia="宋体" w:cs="宋体"/>
                  <w:sz w:val="22"/>
                  <w:szCs w:val="22"/>
                </w:rPr>
              </m:ctrlPr>
            </m:fPr>
            <m:num>
              <m:r>
                <m:rPr>
                  <m:sty m:val="p"/>
                </m:rPr>
                <w:rPr>
                  <w:rFonts w:hint="default" w:ascii="Cambria Math" w:hAnsi="Cambria Math" w:eastAsia="宋体" w:cs="宋体"/>
                  <w:sz w:val="22"/>
                  <w:szCs w:val="22"/>
                </w:rPr>
                <m:t>Cap×</m:t>
              </m:r>
              <m:sSub>
                <m:sSubPr>
                  <m:ctrlPr>
                    <w:rPr>
                      <w:rFonts w:hint="default" w:ascii="Cambria Math" w:hAnsi="Cambria Math" w:eastAsia="宋体" w:cs="宋体"/>
                      <w:sz w:val="22"/>
                      <w:szCs w:val="22"/>
                    </w:rPr>
                  </m:ctrlPr>
                </m:sSubPr>
                <m:e>
                  <m:r>
                    <m:rPr>
                      <m:sty m:val="p"/>
                    </m:rPr>
                    <w:rPr>
                      <w:rFonts w:hint="default" w:ascii="Cambria Math" w:hAnsi="Cambria Math" w:eastAsia="宋体" w:cs="宋体"/>
                      <w:sz w:val="22"/>
                      <w:szCs w:val="22"/>
                    </w:rPr>
                    <m:t>N</m:t>
                  </m:r>
                  <m:ctrlPr>
                    <w:rPr>
                      <w:rFonts w:hint="default" w:ascii="Cambria Math" w:hAnsi="Cambria Math" w:eastAsia="宋体" w:cs="宋体"/>
                      <w:sz w:val="22"/>
                      <w:szCs w:val="22"/>
                    </w:rPr>
                  </m:ctrlPr>
                </m:e>
                <m:sub>
                  <m:r>
                    <m:rPr>
                      <m:sty m:val="p"/>
                    </m:rPr>
                    <w:rPr>
                      <w:rFonts w:hint="default" w:ascii="Cambria Math" w:hAnsi="Cambria Math" w:eastAsia="宋体" w:cs="宋体"/>
                      <w:sz w:val="22"/>
                      <w:szCs w:val="22"/>
                    </w:rPr>
                    <m:t>cycle</m:t>
                  </m:r>
                  <m:ctrlPr>
                    <w:rPr>
                      <w:rFonts w:hint="default" w:ascii="Cambria Math" w:hAnsi="Cambria Math" w:eastAsia="宋体" w:cs="宋体"/>
                      <w:sz w:val="22"/>
                      <w:szCs w:val="22"/>
                    </w:rPr>
                  </m:ctrlPr>
                </m:sub>
              </m:sSub>
              <m:r>
                <m:rPr>
                  <m:sty m:val="p"/>
                </m:rPr>
                <w:rPr>
                  <w:rFonts w:hint="default" w:ascii="Cambria Math" w:hAnsi="Cambria Math" w:eastAsia="宋体" w:cs="宋体"/>
                  <w:sz w:val="22"/>
                  <w:szCs w:val="22"/>
                </w:rPr>
                <m:t>×Δ</m:t>
              </m:r>
              <m:sSub>
                <m:sSubPr>
                  <m:ctrlPr>
                    <w:rPr>
                      <w:rFonts w:hint="default" w:ascii="Cambria Math" w:hAnsi="Cambria Math" w:eastAsia="宋体" w:cs="宋体"/>
                      <w:sz w:val="22"/>
                      <w:szCs w:val="22"/>
                    </w:rPr>
                  </m:ctrlPr>
                </m:sSubPr>
                <m:e>
                  <m:r>
                    <m:rPr>
                      <m:sty m:val="p"/>
                    </m:rPr>
                    <w:rPr>
                      <w:rFonts w:hint="default" w:ascii="Cambria Math" w:hAnsi="Cambria Math" w:eastAsia="宋体" w:cs="宋体"/>
                      <w:sz w:val="22"/>
                      <w:szCs w:val="22"/>
                    </w:rPr>
                    <m:t>E</m:t>
                  </m:r>
                  <m:ctrlPr>
                    <w:rPr>
                      <w:rFonts w:hint="default" w:ascii="Cambria Math" w:hAnsi="Cambria Math" w:eastAsia="宋体" w:cs="宋体"/>
                      <w:sz w:val="22"/>
                      <w:szCs w:val="22"/>
                    </w:rPr>
                  </m:ctrlPr>
                </m:e>
                <m:sub>
                  <m:r>
                    <m:rPr>
                      <m:sty m:val="p"/>
                    </m:rPr>
                    <w:rPr>
                      <w:rFonts w:hint="default" w:ascii="Cambria Math" w:hAnsi="Cambria Math" w:eastAsia="宋体" w:cs="宋体"/>
                      <w:sz w:val="22"/>
                      <w:szCs w:val="22"/>
                    </w:rPr>
                    <m:t>pv</m:t>
                  </m:r>
                  <m:ctrlPr>
                    <w:rPr>
                      <w:rFonts w:hint="default" w:ascii="Cambria Math" w:hAnsi="Cambria Math" w:eastAsia="宋体" w:cs="宋体"/>
                      <w:sz w:val="22"/>
                      <w:szCs w:val="22"/>
                    </w:rPr>
                  </m:ctrlPr>
                </m:sub>
              </m:sSub>
              <m:ctrlPr>
                <w:rPr>
                  <w:rFonts w:hint="default" w:ascii="Cambria Math" w:hAnsi="Cambria Math" w:eastAsia="宋体" w:cs="宋体"/>
                  <w:sz w:val="22"/>
                  <w:szCs w:val="22"/>
                </w:rPr>
              </m:ctrlPr>
            </m:num>
            <m:den>
              <m:r>
                <m:rPr>
                  <m:sty m:val="p"/>
                </m:rPr>
                <w:rPr>
                  <w:rFonts w:hint="default" w:ascii="Cambria Math" w:hAnsi="Cambria Math" w:eastAsia="宋体" w:cs="宋体"/>
                  <w:sz w:val="22"/>
                  <w:szCs w:val="22"/>
                </w:rPr>
                <m:t>1000</m:t>
              </m:r>
              <m:ctrlPr>
                <w:rPr>
                  <w:rFonts w:hint="default" w:ascii="Cambria Math" w:hAnsi="Cambria Math" w:eastAsia="宋体" w:cs="宋体"/>
                  <w:sz w:val="22"/>
                  <w:szCs w:val="22"/>
                </w:rPr>
              </m:ctrlPr>
            </m:den>
          </m:f>
        </m:oMath>
      </m:oMathPara>
    </w:p>
    <w:p w14:paraId="33EB977A">
      <w:pPr>
        <w:keepNext w:val="0"/>
        <w:keepLines w:val="0"/>
        <w:pageBreakBefore w:val="0"/>
        <w:widowControl w:val="0"/>
        <w:kinsoku/>
        <w:wordWrap/>
        <w:overflowPunct/>
        <w:topLinePunct w:val="0"/>
        <w:autoSpaceDE/>
        <w:autoSpaceDN/>
        <w:bidi w:val="0"/>
        <w:adjustRightInd/>
        <w:snapToGrid/>
        <w:spacing w:line="276" w:lineRule="auto"/>
        <w:ind w:firstLine="440" w:firstLineChars="200"/>
        <w:textAlignment w:val="auto"/>
        <w:rPr>
          <w:rFonts w:hint="eastAsia" w:ascii="宋体" w:hAnsi="宋体" w:eastAsia="宋体" w:cs="宋体"/>
          <w:sz w:val="21"/>
          <w:szCs w:val="21"/>
          <w:lang w:val="en-US" w:eastAsia="zh-CN"/>
        </w:rPr>
      </w:pPr>
      <w:r>
        <w:rPr>
          <w:rFonts w:hint="eastAsia" w:hAnsi="Cambria Math" w:cs="宋体"/>
          <w:i w:val="0"/>
          <w:sz w:val="22"/>
          <w:szCs w:val="22"/>
          <w:lang w:val="en-US" w:eastAsia="zh-CN"/>
        </w:rPr>
        <w:t>其中：</w:t>
      </w:r>
      <m:oMath>
        <m:sSub>
          <m:sSubPr>
            <m:ctrlPr>
              <w:rPr>
                <w:rFonts w:ascii="Cambria Math" w:hAnsi="Cambria Math" w:cs="宋体"/>
                <w:i/>
                <w:sz w:val="22"/>
                <w:szCs w:val="22"/>
                <w:lang w:val="en-US"/>
              </w:rPr>
            </m:ctrlPr>
          </m:sSubPr>
          <m:e>
            <m:r>
              <m:rPr/>
              <w:rPr>
                <w:rFonts w:hint="default" w:ascii="Cambria Math" w:hAnsi="Cambria Math" w:cs="宋体"/>
                <w:sz w:val="22"/>
                <w:szCs w:val="22"/>
                <w:lang w:val="en-US" w:eastAsia="zh-CN"/>
              </w:rPr>
              <m:t>C</m:t>
            </m:r>
            <m:ctrlPr>
              <w:rPr>
                <w:rFonts w:ascii="Cambria Math" w:hAnsi="Cambria Math" w:cs="宋体"/>
                <w:i/>
                <w:sz w:val="22"/>
                <w:szCs w:val="22"/>
                <w:lang w:val="en-US"/>
              </w:rPr>
            </m:ctrlPr>
          </m:e>
          <m:sub>
            <m:r>
              <m:rPr/>
              <w:rPr>
                <w:rFonts w:hint="default" w:ascii="Cambria Math" w:hAnsi="Cambria Math" w:cs="宋体"/>
                <w:sz w:val="22"/>
                <w:szCs w:val="22"/>
                <w:lang w:val="en-US" w:eastAsia="zh-CN"/>
              </w:rPr>
              <m:t>pv</m:t>
            </m:r>
            <m:ctrlPr>
              <w:rPr>
                <w:rFonts w:ascii="Cambria Math" w:hAnsi="Cambria Math" w:cs="宋体"/>
                <w:i/>
                <w:sz w:val="22"/>
                <w:szCs w:val="22"/>
                <w:lang w:val="en-US"/>
              </w:rPr>
            </m:ctrlPr>
          </m:sub>
        </m:sSub>
      </m:oMath>
      <w:r>
        <w:rPr>
          <w:rFonts w:hint="default" w:ascii="宋体" w:hAnsi="宋体" w:eastAsia="宋体" w:cs="宋体"/>
          <w:sz w:val="21"/>
          <w:szCs w:val="21"/>
          <w:lang w:val="en-US" w:eastAsia="zh-CN"/>
        </w:rPr>
        <w:t>：峰谷套利减碳量</w:t>
      </w:r>
      <w:r>
        <w:rPr>
          <w:rFonts w:hint="eastAsia" w:cs="宋体"/>
          <w:sz w:val="21"/>
          <w:szCs w:val="21"/>
          <w:lang w:val="en-US" w:eastAsia="zh-CN"/>
        </w:rPr>
        <w:t>，</w:t>
      </w:r>
      <w:r>
        <w:rPr>
          <w:rFonts w:hint="default" w:ascii="宋体" w:hAnsi="宋体" w:eastAsia="宋体" w:cs="宋体"/>
          <w:sz w:val="21"/>
          <w:szCs w:val="21"/>
          <w:lang w:val="en-US" w:eastAsia="zh-CN"/>
        </w:rPr>
        <w:t>标定为通过充放电套利活动所产生的环境减排量</w:t>
      </w:r>
      <w:r>
        <w:rPr>
          <w:rFonts w:hint="eastAsia" w:cs="宋体"/>
          <w:sz w:val="21"/>
          <w:szCs w:val="21"/>
          <w:lang w:val="en-US" w:eastAsia="zh-CN"/>
        </w:rPr>
        <w:t>；</w:t>
      </w:r>
      <m:oMath>
        <m:r>
          <m:rPr/>
          <w:rPr>
            <w:rFonts w:hint="default" w:ascii="Cambria Math" w:hAnsi="Cambria Math" w:cs="宋体"/>
            <w:sz w:val="21"/>
            <w:szCs w:val="21"/>
            <w:lang w:val="en-US" w:eastAsia="zh-CN"/>
          </w:rPr>
          <m:t>Cap</m:t>
        </m:r>
      </m:oMath>
      <w:r>
        <w:rPr>
          <w:rFonts w:hint="eastAsia" w:hAnsi="Cambria Math" w:cs="宋体"/>
          <w:i w:val="0"/>
          <w:sz w:val="21"/>
          <w:szCs w:val="21"/>
          <w:lang w:val="en-US" w:eastAsia="zh-CN"/>
        </w:rPr>
        <w:t>：</w:t>
      </w:r>
      <w:r>
        <w:rPr>
          <w:rFonts w:hint="default" w:ascii="宋体" w:hAnsi="宋体" w:eastAsia="宋体" w:cs="宋体"/>
          <w:sz w:val="21"/>
          <w:szCs w:val="21"/>
          <w:lang w:val="en-US" w:eastAsia="zh-CN"/>
        </w:rPr>
        <w:t>储能系统额定容量（同上）</w:t>
      </w:r>
      <w:r>
        <w:rPr>
          <w:rFonts w:hint="eastAsia" w:cs="宋体"/>
          <w:sz w:val="21"/>
          <w:szCs w:val="21"/>
          <w:lang w:val="en-US" w:eastAsia="zh-CN"/>
        </w:rPr>
        <w:t>；</w:t>
      </w:r>
      <m:oMath>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N</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cycle</m:t>
            </m:r>
            <m:ctrlPr>
              <w:rPr>
                <w:rFonts w:ascii="Cambria Math" w:hAnsi="Cambria Math" w:cs="宋体"/>
                <w:i/>
                <w:sz w:val="21"/>
                <w:szCs w:val="21"/>
                <w:lang w:val="en-US"/>
              </w:rPr>
            </m:ctrlPr>
          </m:sub>
        </m:sSub>
      </m:oMath>
      <w:r>
        <w:rPr>
          <w:rFonts w:hint="eastAsia" w:hAnsi="Cambria Math" w:cs="宋体"/>
          <w:i w:val="0"/>
          <w:sz w:val="21"/>
          <w:szCs w:val="21"/>
          <w:lang w:val="en-US" w:eastAsia="zh-CN"/>
        </w:rPr>
        <w:t>：</w:t>
      </w:r>
      <w:r>
        <w:rPr>
          <w:rFonts w:hint="default" w:ascii="宋体" w:hAnsi="宋体" w:eastAsia="宋体" w:cs="宋体"/>
          <w:sz w:val="21"/>
          <w:szCs w:val="21"/>
          <w:lang w:val="en-US" w:eastAsia="zh-CN"/>
        </w:rPr>
        <w:t>年度循环次数</w:t>
      </w:r>
      <w:r>
        <w:rPr>
          <w:rFonts w:hint="eastAsia" w:cs="宋体"/>
          <w:sz w:val="21"/>
          <w:szCs w:val="21"/>
          <w:lang w:val="en-US" w:eastAsia="zh-CN"/>
        </w:rPr>
        <w:t>，</w:t>
      </w:r>
      <w:r>
        <w:rPr>
          <w:rFonts w:hint="default" w:ascii="宋体" w:hAnsi="宋体" w:eastAsia="宋体" w:cs="宋体"/>
          <w:sz w:val="21"/>
          <w:szCs w:val="21"/>
          <w:lang w:val="en-US" w:eastAsia="zh-CN"/>
        </w:rPr>
        <w:t>系统在自然年度内的满充满放循环总计</w:t>
      </w:r>
      <w:r>
        <w:rPr>
          <w:rFonts w:hint="eastAsia" w:cs="宋体"/>
          <w:sz w:val="21"/>
          <w:szCs w:val="21"/>
          <w:lang w:val="en-US" w:eastAsia="zh-CN"/>
        </w:rPr>
        <w:t>；</w:t>
      </w:r>
      <m:oMath>
        <m:r>
          <m:rPr/>
          <w:rPr>
            <w:rFonts w:ascii="Cambria Math" w:hAnsi="Cambria Math" w:cs="宋体"/>
            <w:sz w:val="21"/>
            <w:szCs w:val="21"/>
            <w:lang w:val="en-US"/>
          </w:rPr>
          <m:t>∆</m:t>
        </m:r>
        <m:sSub>
          <m:sSubPr>
            <m:ctrlPr>
              <w:rPr>
                <w:rFonts w:ascii="Cambria Math" w:hAnsi="Cambria Math" w:cs="宋体"/>
                <w:i/>
                <w:sz w:val="21"/>
                <w:szCs w:val="21"/>
                <w:lang w:val="en-US"/>
              </w:rPr>
            </m:ctrlPr>
          </m:sSubPr>
          <m:e>
            <m:r>
              <m:rPr/>
              <w:rPr>
                <w:rFonts w:hint="default" w:ascii="Cambria Math" w:hAnsi="Cambria Math" w:cs="宋体"/>
                <w:sz w:val="21"/>
                <w:szCs w:val="21"/>
                <w:lang w:val="en-US" w:eastAsia="zh-CN"/>
              </w:rPr>
              <m:t>E</m:t>
            </m:r>
            <m:ctrlPr>
              <w:rPr>
                <w:rFonts w:ascii="Cambria Math" w:hAnsi="Cambria Math" w:cs="宋体"/>
                <w:i/>
                <w:sz w:val="21"/>
                <w:szCs w:val="21"/>
                <w:lang w:val="en-US"/>
              </w:rPr>
            </m:ctrlPr>
          </m:e>
          <m:sub>
            <m:r>
              <m:rPr/>
              <w:rPr>
                <w:rFonts w:hint="default" w:ascii="Cambria Math" w:hAnsi="Cambria Math" w:cs="宋体"/>
                <w:sz w:val="21"/>
                <w:szCs w:val="21"/>
                <w:lang w:val="en-US" w:eastAsia="zh-CN"/>
              </w:rPr>
              <m:t>pv</m:t>
            </m:r>
            <m:ctrlPr>
              <w:rPr>
                <w:rFonts w:ascii="Cambria Math" w:hAnsi="Cambria Math" w:cs="宋体"/>
                <w:i/>
                <w:sz w:val="21"/>
                <w:szCs w:val="21"/>
                <w:lang w:val="en-US"/>
              </w:rPr>
            </m:ctrlPr>
          </m:sub>
        </m:sSub>
      </m:oMath>
      <w:r>
        <w:rPr>
          <w:rFonts w:hint="default" w:ascii="宋体" w:hAnsi="宋体" w:eastAsia="宋体" w:cs="宋体"/>
          <w:sz w:val="21"/>
          <w:szCs w:val="21"/>
          <w:lang w:val="en-US" w:eastAsia="zh-CN"/>
        </w:rPr>
        <w:t>：峰谷碳排放因子差值</w:t>
      </w:r>
      <w:r>
        <w:rPr>
          <w:rFonts w:hint="eastAsia" w:cs="宋体"/>
          <w:sz w:val="21"/>
          <w:szCs w:val="21"/>
          <w:lang w:val="en-US" w:eastAsia="zh-CN"/>
        </w:rPr>
        <w:t>，</w:t>
      </w:r>
      <w:r>
        <w:rPr>
          <w:rFonts w:hint="default" w:ascii="宋体" w:hAnsi="宋体" w:eastAsia="宋体" w:cs="宋体"/>
          <w:sz w:val="21"/>
          <w:szCs w:val="21"/>
          <w:lang w:val="en-US" w:eastAsia="zh-CN"/>
        </w:rPr>
        <w:t>测定为电网在高低谷不同时段碳排放因子的绝对差值。</w:t>
      </w:r>
    </w:p>
    <w:p w14:paraId="73410E71">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default" w:ascii="宋体" w:hAnsi="宋体" w:eastAsia="宋体" w:cs="宋体"/>
          <w:sz w:val="21"/>
          <w:szCs w:val="21"/>
        </w:rPr>
        <w:t>系统根据前端表单接收的额定容量、循环次数及对应电池材料碳排放因子等先决参数，实时代入上述内核完成年度总减碳量的毫秒级换算。</w:t>
      </w:r>
    </w:p>
    <w:p w14:paraId="7C7AEAF2">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17" w:name="_Toc6961"/>
      <w:r>
        <w:rPr>
          <w:rFonts w:hint="eastAsia" w:ascii="黑体" w:hAnsi="黑体" w:eastAsia="黑体" w:cs="黑体"/>
          <w:sz w:val="24"/>
          <w:szCs w:val="24"/>
        </w:rPr>
        <w:t>3.2 数据结构设计</w:t>
      </w:r>
      <w:bookmarkEnd w:id="17"/>
    </w:p>
    <w:p w14:paraId="3EEB9131">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lang w:eastAsia="zh-CN"/>
        </w:rPr>
      </w:pPr>
      <w:bookmarkStart w:id="18" w:name="_Toc1880"/>
      <w:r>
        <w:rPr>
          <w:rFonts w:hint="eastAsia" w:eastAsia="宋体"/>
          <w:lang w:eastAsia="zh-CN"/>
        </w:rPr>
        <w:drawing>
          <wp:anchor distT="0" distB="0" distL="114300" distR="114300" simplePos="0" relativeHeight="251670528" behindDoc="1" locked="0" layoutInCell="1" allowOverlap="1">
            <wp:simplePos x="0" y="0"/>
            <wp:positionH relativeFrom="column">
              <wp:posOffset>-548005</wp:posOffset>
            </wp:positionH>
            <wp:positionV relativeFrom="paragraph">
              <wp:posOffset>327660</wp:posOffset>
            </wp:positionV>
            <wp:extent cx="6280150" cy="3997325"/>
            <wp:effectExtent l="0" t="0" r="6350" b="3175"/>
            <wp:wrapTight wrapText="bothSides">
              <wp:wrapPolygon>
                <wp:start x="0" y="0"/>
                <wp:lineTo x="0" y="21566"/>
                <wp:lineTo x="21556" y="21566"/>
                <wp:lineTo x="21556" y="0"/>
                <wp:lineTo x="0" y="0"/>
              </wp:wrapPolygon>
            </wp:wrapTight>
            <wp:docPr id="9" name="图片 9" descr="ER总图_20260415_20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R总图_20260415_200514"/>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80150" cy="3997325"/>
                    </a:xfrm>
                    <a:prstGeom prst="rect">
                      <a:avLst/>
                    </a:prstGeom>
                  </pic:spPr>
                </pic:pic>
              </a:graphicData>
            </a:graphic>
          </wp:anchor>
        </w:drawing>
      </w:r>
      <w:r>
        <w:rPr>
          <w:rFonts w:hint="eastAsia" w:ascii="宋体" w:hAnsi="宋体" w:eastAsia="宋体" w:cs="宋体"/>
        </w:rPr>
        <w:t>3.2.1 存储数据</w:t>
      </w:r>
      <w:bookmarkEnd w:id="18"/>
    </w:p>
    <w:p w14:paraId="4C46821D">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2"/>
          <w:szCs w:val="22"/>
        </w:rPr>
      </w:pPr>
      <w:r>
        <w:rPr>
          <w:rFonts w:hint="eastAsia" w:ascii="宋体" w:hAnsi="宋体" w:eastAsia="宋体" w:cs="宋体"/>
          <w:b/>
          <w:bCs/>
          <w:sz w:val="22"/>
          <w:szCs w:val="22"/>
        </w:rPr>
        <w:t>1. 数据库</w:t>
      </w:r>
    </w:p>
    <w:p w14:paraId="7B3F645A">
      <w:pPr>
        <w:keepNext w:val="0"/>
        <w:keepLines w:val="0"/>
        <w:pageBreakBefore w:val="0"/>
        <w:widowControl w:val="0"/>
        <w:kinsoku/>
        <w:wordWrap/>
        <w:overflowPunct/>
        <w:topLinePunct w:val="0"/>
        <w:autoSpaceDE/>
        <w:autoSpaceDN/>
        <w:bidi w:val="0"/>
        <w:adjustRightIn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系统采用MySQL数据库，数据库名为battery_soh_db，包含以下主要数据表：</w:t>
      </w:r>
    </w:p>
    <w:p w14:paraId="7C0184E8">
      <w:pPr>
        <w:keepNext w:val="0"/>
        <w:keepLines w:val="0"/>
        <w:pageBreakBefore w:val="0"/>
        <w:widowControl w:val="0"/>
        <w:kinsoku/>
        <w:wordWrap/>
        <w:overflowPunct/>
        <w:topLinePunct w:val="0"/>
        <w:autoSpaceDE/>
        <w:autoSpaceDN/>
        <w:bidi w:val="0"/>
        <w:adjustRightInd/>
        <w:spacing w:line="276" w:lineRule="auto"/>
        <w:textAlignment w:val="auto"/>
        <w:rPr>
          <w:rFonts w:hint="eastAsia" w:ascii="宋体" w:hAnsi="宋体" w:eastAsia="宋体" w:cs="宋体"/>
          <w:sz w:val="21"/>
          <w:szCs w:val="21"/>
        </w:rPr>
      </w:pPr>
      <w:r>
        <w:rPr>
          <w:rFonts w:hint="eastAsia" w:ascii="宋体" w:hAnsi="宋体" w:eastAsia="宋体" w:cs="宋体"/>
          <w:b/>
          <w:bCs/>
          <w:sz w:val="21"/>
          <w:szCs w:val="21"/>
        </w:rPr>
        <w:t>（1）用户表（users）</w:t>
      </w:r>
    </w:p>
    <w:tbl>
      <w:tblPr>
        <w:tblStyle w:val="20"/>
        <w:tblW w:w="908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6"/>
        <w:gridCol w:w="1114"/>
        <w:gridCol w:w="1325"/>
        <w:gridCol w:w="1852"/>
        <w:gridCol w:w="1655"/>
        <w:gridCol w:w="2520"/>
      </w:tblGrid>
      <w:tr w14:paraId="5C7E1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7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A6467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hAnsi="Cambria Math" w:cs="宋体"/>
                <w:b/>
                <w:i w:val="0"/>
                <w:sz w:val="21"/>
                <w:szCs w:val="21"/>
                <w:lang w:val="en-US" w:eastAsia="zh-CN"/>
              </w:rPr>
            </w:pPr>
            <w:r>
              <w:rPr>
                <w:rFonts w:hint="default" w:hAnsi="Cambria Math" w:cs="宋体"/>
                <w:b/>
                <w:i w:val="0"/>
                <w:sz w:val="21"/>
                <w:szCs w:val="21"/>
                <w:lang w:val="en-US" w:eastAsia="zh-CN"/>
              </w:rPr>
              <w:t>序号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1F715D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500E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FE76C5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162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0494B4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247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624551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45926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44AAD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5D178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2873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B44ED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2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830547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247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548A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用户唯一标识</w:t>
            </w:r>
          </w:p>
        </w:tc>
      </w:tr>
      <w:tr w14:paraId="6EF62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nil"/>
              <w:left w:val="nil"/>
              <w:bottom w:val="nil"/>
              <w:right w:val="nil"/>
            </w:tcBorders>
            <w:shd w:val="clear" w:color="auto" w:fill="auto"/>
            <w:noWrap w:val="0"/>
            <w:tcMar>
              <w:top w:w="-1" w:type="dxa"/>
              <w:left w:w="-1" w:type="dxa"/>
              <w:bottom w:w="-1" w:type="dxa"/>
              <w:right w:w="-1" w:type="dxa"/>
            </w:tcMar>
            <w:vAlign w:val="center"/>
          </w:tcPr>
          <w:p w14:paraId="170C27B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ECF07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username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A97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9508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25" w:type="dxa"/>
            <w:tcBorders>
              <w:top w:val="nil"/>
              <w:left w:val="nil"/>
              <w:bottom w:val="nil"/>
              <w:right w:val="nil"/>
            </w:tcBorders>
            <w:shd w:val="clear" w:color="auto" w:fill="auto"/>
            <w:noWrap w:val="0"/>
            <w:tcMar>
              <w:top w:w="-1" w:type="dxa"/>
              <w:left w:w="-1" w:type="dxa"/>
              <w:bottom w:w="-1" w:type="dxa"/>
              <w:right w:w="-1" w:type="dxa"/>
            </w:tcMar>
            <w:vAlign w:val="center"/>
          </w:tcPr>
          <w:p w14:paraId="362F461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唯一索引, 非空</w:t>
            </w:r>
          </w:p>
        </w:tc>
        <w:tc>
          <w:tcPr>
            <w:tcW w:w="2475" w:type="dxa"/>
            <w:tcBorders>
              <w:top w:val="nil"/>
              <w:left w:val="nil"/>
              <w:bottom w:val="nil"/>
              <w:right w:val="nil"/>
            </w:tcBorders>
            <w:shd w:val="clear" w:color="auto" w:fill="auto"/>
            <w:noWrap w:val="0"/>
            <w:tcMar>
              <w:top w:w="-1" w:type="dxa"/>
              <w:left w:w="-1" w:type="dxa"/>
              <w:bottom w:w="-1" w:type="dxa"/>
              <w:right w:w="-1" w:type="dxa"/>
            </w:tcMar>
            <w:vAlign w:val="center"/>
          </w:tcPr>
          <w:p w14:paraId="2B5E7A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登录用户名</w:t>
            </w:r>
          </w:p>
        </w:tc>
      </w:tr>
      <w:tr w14:paraId="5BEBD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nil"/>
              <w:left w:val="nil"/>
              <w:bottom w:val="nil"/>
              <w:right w:val="nil"/>
            </w:tcBorders>
            <w:shd w:val="clear" w:color="auto" w:fill="auto"/>
            <w:noWrap w:val="0"/>
            <w:tcMar>
              <w:top w:w="-1" w:type="dxa"/>
              <w:left w:w="-1" w:type="dxa"/>
              <w:bottom w:w="-1" w:type="dxa"/>
              <w:right w:w="-1" w:type="dxa"/>
            </w:tcMar>
            <w:vAlign w:val="center"/>
          </w:tcPr>
          <w:p w14:paraId="775CD02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8B412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email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0ADA8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EA4C9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25" w:type="dxa"/>
            <w:tcBorders>
              <w:top w:val="nil"/>
              <w:left w:val="nil"/>
              <w:bottom w:val="nil"/>
              <w:right w:val="nil"/>
            </w:tcBorders>
            <w:shd w:val="clear" w:color="auto" w:fill="auto"/>
            <w:noWrap w:val="0"/>
            <w:tcMar>
              <w:top w:w="-1" w:type="dxa"/>
              <w:left w:w="-1" w:type="dxa"/>
              <w:bottom w:w="-1" w:type="dxa"/>
              <w:right w:w="-1" w:type="dxa"/>
            </w:tcMar>
            <w:vAlign w:val="center"/>
          </w:tcPr>
          <w:p w14:paraId="6D36F3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唯一索引, 非空</w:t>
            </w:r>
          </w:p>
        </w:tc>
        <w:tc>
          <w:tcPr>
            <w:tcW w:w="2475" w:type="dxa"/>
            <w:tcBorders>
              <w:top w:val="nil"/>
              <w:left w:val="nil"/>
              <w:bottom w:val="nil"/>
              <w:right w:val="nil"/>
            </w:tcBorders>
            <w:shd w:val="clear" w:color="auto" w:fill="auto"/>
            <w:noWrap w:val="0"/>
            <w:tcMar>
              <w:top w:w="-1" w:type="dxa"/>
              <w:left w:w="-1" w:type="dxa"/>
              <w:bottom w:w="-1" w:type="dxa"/>
              <w:right w:w="-1" w:type="dxa"/>
            </w:tcMar>
            <w:vAlign w:val="center"/>
          </w:tcPr>
          <w:p w14:paraId="386CD86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用户联系邮箱</w:t>
            </w:r>
          </w:p>
        </w:tc>
      </w:tr>
      <w:tr w14:paraId="1A470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FACD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18F469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password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E27D5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VARCHAR(255)</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55F6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2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DB001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47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142EF5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加密存储的密码</w:t>
            </w:r>
          </w:p>
        </w:tc>
      </w:tr>
      <w:tr w14:paraId="3518D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nil"/>
              <w:left w:val="nil"/>
              <w:bottom w:val="nil"/>
              <w:right w:val="nil"/>
            </w:tcBorders>
            <w:shd w:val="clear" w:color="auto" w:fill="auto"/>
            <w:noWrap w:val="0"/>
            <w:tcMar>
              <w:top w:w="-1" w:type="dxa"/>
              <w:left w:w="-1" w:type="dxa"/>
              <w:bottom w:w="-1" w:type="dxa"/>
              <w:right w:w="-1" w:type="dxa"/>
            </w:tcMar>
            <w:vAlign w:val="center"/>
          </w:tcPr>
          <w:p w14:paraId="19D75E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4F07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role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F64C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ENUM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16AD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'viewer'</w:t>
            </w:r>
          </w:p>
        </w:tc>
        <w:tc>
          <w:tcPr>
            <w:tcW w:w="1625" w:type="dxa"/>
            <w:tcBorders>
              <w:top w:val="nil"/>
              <w:left w:val="nil"/>
              <w:bottom w:val="nil"/>
              <w:right w:val="nil"/>
            </w:tcBorders>
            <w:shd w:val="clear" w:color="auto" w:fill="auto"/>
            <w:noWrap w:val="0"/>
            <w:tcMar>
              <w:top w:w="-1" w:type="dxa"/>
              <w:left w:w="-1" w:type="dxa"/>
              <w:bottom w:w="-1" w:type="dxa"/>
              <w:right w:w="-1" w:type="dxa"/>
            </w:tcMar>
            <w:vAlign w:val="center"/>
          </w:tcPr>
          <w:p w14:paraId="2D0F3AA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475" w:type="dxa"/>
            <w:tcBorders>
              <w:top w:val="nil"/>
              <w:left w:val="nil"/>
              <w:bottom w:val="nil"/>
              <w:right w:val="nil"/>
            </w:tcBorders>
            <w:shd w:val="clear" w:color="auto" w:fill="auto"/>
            <w:noWrap w:val="0"/>
            <w:tcMar>
              <w:top w:w="-1" w:type="dxa"/>
              <w:left w:w="-1" w:type="dxa"/>
              <w:bottom w:w="-1" w:type="dxa"/>
              <w:right w:w="-1" w:type="dxa"/>
            </w:tcMar>
            <w:vAlign w:val="center"/>
          </w:tcPr>
          <w:p w14:paraId="545CA4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用户系统角色 (admin/staff/viewer)</w:t>
            </w:r>
          </w:p>
        </w:tc>
      </w:tr>
      <w:tr w14:paraId="06B5A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nil"/>
              <w:left w:val="nil"/>
              <w:bottom w:val="nil"/>
              <w:right w:val="nil"/>
            </w:tcBorders>
            <w:shd w:val="clear" w:color="auto" w:fill="auto"/>
            <w:noWrap w:val="0"/>
            <w:tcMar>
              <w:top w:w="-1" w:type="dxa"/>
              <w:left w:w="-1" w:type="dxa"/>
              <w:bottom w:w="-1" w:type="dxa"/>
              <w:right w:w="-1" w:type="dxa"/>
            </w:tcMar>
            <w:vAlign w:val="center"/>
          </w:tcPr>
          <w:p w14:paraId="45EB617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F0F7C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97F7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DATETIME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1C5C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1625" w:type="dxa"/>
            <w:tcBorders>
              <w:top w:val="nil"/>
              <w:left w:val="nil"/>
              <w:bottom w:val="nil"/>
              <w:right w:val="nil"/>
            </w:tcBorders>
            <w:shd w:val="clear" w:color="auto" w:fill="auto"/>
            <w:noWrap w:val="0"/>
            <w:tcMar>
              <w:top w:w="-1" w:type="dxa"/>
              <w:left w:w="-1" w:type="dxa"/>
              <w:bottom w:w="-1" w:type="dxa"/>
              <w:right w:w="-1" w:type="dxa"/>
            </w:tcMar>
            <w:vAlign w:val="center"/>
          </w:tcPr>
          <w:p w14:paraId="717E38C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5" w:type="dxa"/>
            <w:tcBorders>
              <w:top w:val="nil"/>
              <w:left w:val="nil"/>
              <w:bottom w:val="nil"/>
              <w:right w:val="nil"/>
            </w:tcBorders>
            <w:shd w:val="clear" w:color="auto" w:fill="auto"/>
            <w:noWrap w:val="0"/>
            <w:tcMar>
              <w:top w:w="-1" w:type="dxa"/>
              <w:left w:w="-1" w:type="dxa"/>
              <w:bottom w:w="-1" w:type="dxa"/>
              <w:right w:w="-1" w:type="dxa"/>
            </w:tcMar>
            <w:vAlign w:val="center"/>
          </w:tcPr>
          <w:p w14:paraId="0E9C25B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账号注册时间</w:t>
            </w:r>
          </w:p>
        </w:tc>
      </w:tr>
      <w:tr w14:paraId="6CFDA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7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B75FA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108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0C4216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updated_at</w:t>
            </w:r>
          </w:p>
        </w:tc>
        <w:tc>
          <w:tcPr>
            <w:tcW w:w="129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1420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DATETIME</w:t>
            </w:r>
          </w:p>
        </w:tc>
        <w:tc>
          <w:tcPr>
            <w:tcW w:w="182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05A88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16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1FF59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247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61540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信息最后修改时间</w:t>
            </w:r>
          </w:p>
        </w:tc>
      </w:tr>
    </w:tbl>
    <w:p w14:paraId="1C78C7C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hAnsi="Cambria Math" w:cs="宋体"/>
          <w:i w:val="0"/>
          <w:sz w:val="21"/>
          <w:szCs w:val="21"/>
          <w:lang w:val="en-US" w:eastAsia="zh-CN"/>
        </w:rPr>
      </w:pPr>
    </w:p>
    <w:p w14:paraId="6C5D9D88">
      <w:pPr>
        <w:keepNext w:val="0"/>
        <w:keepLines w:val="0"/>
        <w:pageBreakBefore w:val="0"/>
        <w:widowControl w:val="0"/>
        <w:kinsoku/>
        <w:wordWrap/>
        <w:overflowPunct/>
        <w:topLinePunct w:val="0"/>
        <w:autoSpaceDE/>
        <w:autoSpaceDN/>
        <w:bidi w:val="0"/>
        <w:adjustRightInd/>
        <w:spacing w:line="276"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（2）电池信息表（battery_info）</w:t>
      </w:r>
    </w:p>
    <w:tbl>
      <w:tblPr>
        <w:tblStyle w:val="20"/>
        <w:tblW w:w="957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
        <w:gridCol w:w="1820"/>
        <w:gridCol w:w="1490"/>
        <w:gridCol w:w="1930"/>
        <w:gridCol w:w="980"/>
        <w:gridCol w:w="2715"/>
      </w:tblGrid>
      <w:tr w14:paraId="46DA7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E6DD8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hAnsi="Cambria Math" w:cs="宋体"/>
                <w:b/>
                <w:i w:val="0"/>
                <w:sz w:val="21"/>
                <w:szCs w:val="21"/>
                <w:lang w:val="en-US" w:eastAsia="zh-CN"/>
              </w:rPr>
            </w:pPr>
            <w:r>
              <w:rPr>
                <w:rFonts w:hint="default" w:hAnsi="Cambria Math" w:cs="宋体"/>
                <w:b/>
                <w:i w:val="0"/>
                <w:sz w:val="21"/>
                <w:szCs w:val="21"/>
                <w:lang w:val="en-US" w:eastAsia="zh-CN"/>
              </w:rPr>
              <w:t>序号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88D19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0F749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6059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653F7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267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44C249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1462D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654B9B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552FD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battery_id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1A7B2D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CC9FE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232408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非空</w:t>
            </w:r>
          </w:p>
        </w:tc>
        <w:tc>
          <w:tcPr>
            <w:tcW w:w="267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BC07CF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电池组实验室编号</w:t>
            </w:r>
          </w:p>
        </w:tc>
      </w:tr>
      <w:tr w14:paraId="46B19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7E0F2A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54D7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battery_name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3953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1E81E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CC35B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6A314A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电池组名称代号</w:t>
            </w:r>
          </w:p>
        </w:tc>
      </w:tr>
      <w:tr w14:paraId="64BDB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E5BC4E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34D0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manufacturer</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0BF9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72044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'Severson Lab'</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BE58C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4CFDDB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数据源/制造商名称</w:t>
            </w:r>
          </w:p>
        </w:tc>
      </w:tr>
      <w:tr w14:paraId="2C390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42BC28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5D53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model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4B4C1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VARCHAR(50)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F760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'LFP/Graphite'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9E5F2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164BC3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电池化学材料/型号</w:t>
            </w:r>
          </w:p>
        </w:tc>
      </w:tr>
      <w:tr w14:paraId="598FA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10DF3F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B61AE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rated_capacity</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1F09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302E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1135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56AD2FE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标称额定容量 (Ah)</w:t>
            </w:r>
          </w:p>
        </w:tc>
      </w:tr>
      <w:tr w14:paraId="4C2C6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742B8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10FDD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rated_voltage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4EEAE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6823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'3.3000'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1CD8D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504ECB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标称额定电压 (V)</w:t>
            </w:r>
          </w:p>
        </w:tc>
      </w:tr>
      <w:tr w14:paraId="3A06A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147675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CA89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manufacture_date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9580E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8C17B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B4E9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5F3A8A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电池生产日期</w:t>
            </w:r>
          </w:p>
        </w:tc>
      </w:tr>
      <w:tr w14:paraId="045A8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39289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068B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first_use_date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7B3A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E3CB2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9CF6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0086836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首次投入测试日期</w:t>
            </w:r>
          </w:p>
        </w:tc>
      </w:tr>
      <w:tr w14:paraId="55428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1DF351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7C53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status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A8AB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ENUM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8DB10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'active'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B5599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3F4118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 xml:space="preserve">测试运行状态 </w:t>
            </w:r>
          </w:p>
        </w:tc>
      </w:tr>
      <w:tr w14:paraId="79FA7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6ED4B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1CBE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dataset_type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5029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ENUM</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5748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1F72F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799521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 xml:space="preserve">数据集划分标记 </w:t>
            </w:r>
          </w:p>
        </w:tc>
      </w:tr>
      <w:tr w14:paraId="0F6FD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1FF8BF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39DE6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total_cycles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B95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F63E0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636C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4C3E9F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累计经历的总循环数</w:t>
            </w:r>
          </w:p>
        </w:tc>
      </w:tr>
      <w:tr w14:paraId="0C543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C69B1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75D9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notes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C90D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71C15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C350B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2EE9CFA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实验环境及异常备注</w:t>
            </w:r>
          </w:p>
        </w:tc>
      </w:tr>
      <w:tr w14:paraId="3176D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969F5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D16C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476BC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C02D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6C67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70" w:type="dxa"/>
            <w:tcBorders>
              <w:top w:val="nil"/>
              <w:left w:val="nil"/>
              <w:bottom w:val="nil"/>
              <w:right w:val="nil"/>
            </w:tcBorders>
            <w:shd w:val="clear" w:color="auto" w:fill="auto"/>
            <w:noWrap w:val="0"/>
            <w:tcMar>
              <w:top w:w="-1" w:type="dxa"/>
              <w:left w:w="-1" w:type="dxa"/>
              <w:bottom w:w="-1" w:type="dxa"/>
              <w:right w:w="-1" w:type="dxa"/>
            </w:tcMar>
            <w:vAlign w:val="center"/>
          </w:tcPr>
          <w:p w14:paraId="30FE44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台账录入时间</w:t>
            </w:r>
          </w:p>
        </w:tc>
      </w:tr>
      <w:tr w14:paraId="6B2EF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227E3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14</w:t>
            </w:r>
          </w:p>
        </w:tc>
        <w:tc>
          <w:tcPr>
            <w:tcW w:w="179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6DDFAF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updated_at</w:t>
            </w:r>
          </w:p>
        </w:tc>
        <w:tc>
          <w:tcPr>
            <w:tcW w:w="146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F8DE5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90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9176B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9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3E29C3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26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EC43E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台账最后更新时间</w:t>
            </w:r>
          </w:p>
        </w:tc>
      </w:tr>
    </w:tbl>
    <w:p w14:paraId="71FDB305">
      <w:pPr>
        <w:keepNext w:val="0"/>
        <w:keepLines w:val="0"/>
        <w:pageBreakBefore w:val="0"/>
        <w:widowControl w:val="0"/>
        <w:kinsoku/>
        <w:wordWrap/>
        <w:overflowPunct/>
        <w:topLinePunct w:val="0"/>
        <w:autoSpaceDE/>
        <w:autoSpaceDN/>
        <w:bidi w:val="0"/>
        <w:adjustRightInd/>
        <w:spacing w:line="240" w:lineRule="auto"/>
        <w:ind w:firstLine="420" w:firstLineChars="200"/>
        <w:jc w:val="center"/>
        <w:textAlignment w:val="auto"/>
        <w:rPr>
          <w:rFonts w:hint="eastAsia" w:ascii="宋体" w:hAnsi="宋体" w:eastAsia="宋体" w:cs="宋体"/>
          <w:sz w:val="21"/>
          <w:szCs w:val="21"/>
        </w:rPr>
      </w:pPr>
    </w:p>
    <w:p w14:paraId="720B65F9">
      <w:pPr>
        <w:keepNext w:val="0"/>
        <w:keepLines w:val="0"/>
        <w:pageBreakBefore w:val="0"/>
        <w:widowControl w:val="0"/>
        <w:kinsoku/>
        <w:wordWrap/>
        <w:overflowPunct/>
        <w:topLinePunct w:val="0"/>
        <w:autoSpaceDE/>
        <w:autoSpaceDN/>
        <w:bidi w:val="0"/>
        <w:adjustRightInd/>
        <w:spacing w:line="276"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（3）电池生命周期数据表（battery_lifecycle_data）</w:t>
      </w:r>
    </w:p>
    <w:tbl>
      <w:tblPr>
        <w:tblStyle w:val="20"/>
        <w:tblW w:w="1083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36"/>
        <w:gridCol w:w="1606"/>
        <w:gridCol w:w="1053"/>
        <w:gridCol w:w="1546"/>
        <w:gridCol w:w="3098"/>
        <w:gridCol w:w="2891"/>
      </w:tblGrid>
      <w:tr w14:paraId="37F48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C0F1D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hAnsi="Cambria Math" w:cs="宋体"/>
                <w:b/>
                <w:i w:val="0"/>
                <w:sz w:val="21"/>
                <w:szCs w:val="21"/>
                <w:lang w:val="en-US" w:eastAsia="zh-CN"/>
              </w:rPr>
            </w:pPr>
            <w:r>
              <w:rPr>
                <w:rFonts w:hint="default" w:hAnsi="Cambria Math" w:cs="宋体"/>
                <w:b/>
                <w:i w:val="0"/>
                <w:sz w:val="21"/>
                <w:szCs w:val="21"/>
                <w:lang w:val="en-US" w:eastAsia="zh-CN"/>
              </w:rPr>
              <w:t>序号</w:t>
            </w:r>
          </w:p>
        </w:tc>
        <w:tc>
          <w:tcPr>
            <w:tcW w:w="157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D3CB9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102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3C108D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15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66F10A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306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68A39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284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78D30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6D77E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C83BB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157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C6223C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102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D72D00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BIGINT</w:t>
            </w:r>
          </w:p>
        </w:tc>
        <w:tc>
          <w:tcPr>
            <w:tcW w:w="151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24CD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0A9935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 非空</w:t>
            </w:r>
          </w:p>
        </w:tc>
        <w:tc>
          <w:tcPr>
            <w:tcW w:w="284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1A6E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生命周期记录ID</w:t>
            </w:r>
          </w:p>
        </w:tc>
      </w:tr>
      <w:tr w14:paraId="50536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E18ECB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074BF5B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battery_id</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23B8816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3CBB2C3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7EAF78D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外键(关联batteries.id), 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4D036C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关联的电池组ID</w:t>
            </w:r>
          </w:p>
        </w:tc>
      </w:tr>
      <w:tr w14:paraId="25F4E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1B4B0B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41956BF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cycle_count</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63CABA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40BD59A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49E55B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联合唯一(与battery_id), 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7E86C7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当前循环次数</w:t>
            </w:r>
          </w:p>
        </w:tc>
      </w:tr>
      <w:tr w14:paraId="60E7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C1D6D2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5489C1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voltage</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4AC8F69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330410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17180C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4E0A01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电压(V)</w:t>
            </w:r>
          </w:p>
        </w:tc>
      </w:tr>
      <w:tr w14:paraId="7A397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4C88BF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05FAE7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6BF7FF6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2648F1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58A479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5B11466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电流(A)</w:t>
            </w:r>
          </w:p>
        </w:tc>
      </w:tr>
      <w:tr w14:paraId="46F2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745F6E9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1183F7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temperature</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0ECC38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219B652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23B611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79742C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温度(°C)</w:t>
            </w:r>
          </w:p>
        </w:tc>
      </w:tr>
      <w:tr w14:paraId="6197E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63D9E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1213AE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capacity</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6C2FAD0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4942F4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0A68A9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6DBE9D2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容量(Ah)</w:t>
            </w:r>
          </w:p>
        </w:tc>
      </w:tr>
      <w:tr w14:paraId="50231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C0845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7C851E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resistance</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5F3219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7BB611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490ED2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62C966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内阻(mΩ)</w:t>
            </w:r>
          </w:p>
        </w:tc>
      </w:tr>
      <w:tr w14:paraId="5D80B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7612512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3F18E1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soc</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525FBC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7062A2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01D702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0A1FF3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SOC荷电状态(%)</w:t>
            </w:r>
          </w:p>
        </w:tc>
      </w:tr>
      <w:tr w14:paraId="0EB5B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53C933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33D20CC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soh</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1E1844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0A7ED04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4EEFFB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2200F1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SOH健康状态(%)</w:t>
            </w:r>
          </w:p>
        </w:tc>
      </w:tr>
      <w:tr w14:paraId="2F55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9BCB5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6B82CE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power</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5F468B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3BCE0F3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0E80228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2E7BA20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功率(W)</w:t>
            </w:r>
          </w:p>
        </w:tc>
      </w:tr>
      <w:tr w14:paraId="64155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D69BF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2DE68E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rul</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6BF7F6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27DF861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1CC8C0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588E6E8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RUL剩余寿命预测(循环次数)</w:t>
            </w:r>
          </w:p>
        </w:tc>
      </w:tr>
      <w:tr w14:paraId="249CC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7777C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1576" w:type="dxa"/>
            <w:tcBorders>
              <w:top w:val="nil"/>
              <w:left w:val="nil"/>
              <w:bottom w:val="nil"/>
              <w:right w:val="nil"/>
            </w:tcBorders>
            <w:shd w:val="clear" w:color="auto" w:fill="auto"/>
            <w:noWrap w:val="0"/>
            <w:tcMar>
              <w:top w:w="-1" w:type="dxa"/>
              <w:left w:w="-1" w:type="dxa"/>
              <w:bottom w:w="-1" w:type="dxa"/>
              <w:right w:w="-1" w:type="dxa"/>
            </w:tcMar>
            <w:vAlign w:val="center"/>
          </w:tcPr>
          <w:p w14:paraId="031EF26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pcl</w:t>
            </w:r>
          </w:p>
        </w:tc>
        <w:tc>
          <w:tcPr>
            <w:tcW w:w="1023" w:type="dxa"/>
            <w:tcBorders>
              <w:top w:val="nil"/>
              <w:left w:val="nil"/>
              <w:bottom w:val="nil"/>
              <w:right w:val="nil"/>
            </w:tcBorders>
            <w:shd w:val="clear" w:color="auto" w:fill="auto"/>
            <w:noWrap w:val="0"/>
            <w:tcMar>
              <w:top w:w="-1" w:type="dxa"/>
              <w:left w:w="-1" w:type="dxa"/>
              <w:bottom w:w="-1" w:type="dxa"/>
              <w:right w:w="-1" w:type="dxa"/>
            </w:tcMar>
            <w:vAlign w:val="center"/>
          </w:tcPr>
          <w:p w14:paraId="752804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w:t>
            </w:r>
          </w:p>
        </w:tc>
        <w:tc>
          <w:tcPr>
            <w:tcW w:w="1516" w:type="dxa"/>
            <w:tcBorders>
              <w:top w:val="nil"/>
              <w:left w:val="nil"/>
              <w:bottom w:val="nil"/>
              <w:right w:val="nil"/>
            </w:tcBorders>
            <w:shd w:val="clear" w:color="auto" w:fill="auto"/>
            <w:noWrap w:val="0"/>
            <w:tcMar>
              <w:top w:w="-1" w:type="dxa"/>
              <w:left w:w="-1" w:type="dxa"/>
              <w:bottom w:w="-1" w:type="dxa"/>
              <w:right w:w="-1" w:type="dxa"/>
            </w:tcMar>
            <w:vAlign w:val="center"/>
          </w:tcPr>
          <w:p w14:paraId="0F42F06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68" w:type="dxa"/>
            <w:tcBorders>
              <w:top w:val="nil"/>
              <w:left w:val="nil"/>
              <w:bottom w:val="nil"/>
              <w:right w:val="nil"/>
            </w:tcBorders>
            <w:shd w:val="clear" w:color="auto" w:fill="auto"/>
            <w:noWrap w:val="0"/>
            <w:tcMar>
              <w:top w:w="-1" w:type="dxa"/>
              <w:left w:w="-1" w:type="dxa"/>
              <w:bottom w:w="-1" w:type="dxa"/>
              <w:right w:w="-1" w:type="dxa"/>
            </w:tcMar>
            <w:vAlign w:val="center"/>
          </w:tcPr>
          <w:p w14:paraId="44E22A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846" w:type="dxa"/>
            <w:tcBorders>
              <w:top w:val="nil"/>
              <w:left w:val="nil"/>
              <w:bottom w:val="nil"/>
              <w:right w:val="nil"/>
            </w:tcBorders>
            <w:shd w:val="clear" w:color="auto" w:fill="auto"/>
            <w:noWrap w:val="0"/>
            <w:tcMar>
              <w:top w:w="-1" w:type="dxa"/>
              <w:left w:w="-1" w:type="dxa"/>
              <w:bottom w:w="-1" w:type="dxa"/>
              <w:right w:w="-1" w:type="dxa"/>
            </w:tcMar>
            <w:vAlign w:val="center"/>
          </w:tcPr>
          <w:p w14:paraId="78E861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PCL容量衰减百分比(%)</w:t>
            </w:r>
          </w:p>
        </w:tc>
      </w:tr>
      <w:tr w14:paraId="2E2B7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2CCEB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r>
              <w:rPr>
                <w:rFonts w:hint="eastAsia" w:hAnsi="Cambria Math" w:cs="宋体"/>
                <w:i w:val="0"/>
                <w:sz w:val="21"/>
                <w:szCs w:val="21"/>
                <w:lang w:val="en-US" w:eastAsia="zh-CN"/>
              </w:rPr>
              <w:t>4</w:t>
            </w:r>
          </w:p>
        </w:tc>
        <w:tc>
          <w:tcPr>
            <w:tcW w:w="157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C012C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02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BAAD18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51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43027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16"/>
                <w:szCs w:val="16"/>
                <w:lang w:val="en-US" w:eastAsia="zh-CN"/>
              </w:rPr>
              <w:t>CURRENT_TIMESTAMP</w:t>
            </w:r>
          </w:p>
        </w:tc>
        <w:tc>
          <w:tcPr>
            <w:tcW w:w="306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EB1BE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84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6DFE82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记录入库时间</w:t>
            </w:r>
          </w:p>
        </w:tc>
      </w:tr>
    </w:tbl>
    <w:p w14:paraId="17AD3E9C">
      <w:pPr>
        <w:keepNext w:val="0"/>
        <w:keepLines w:val="0"/>
        <w:pageBreakBefore w:val="0"/>
        <w:widowControl w:val="0"/>
        <w:kinsoku/>
        <w:wordWrap/>
        <w:overflowPunct/>
        <w:topLinePunct w:val="0"/>
        <w:autoSpaceDE/>
        <w:autoSpaceDN/>
        <w:bidi w:val="0"/>
        <w:adjustRightInd/>
        <w:spacing w:line="276"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（4）模型表（models）</w:t>
      </w:r>
    </w:p>
    <w:tbl>
      <w:tblPr>
        <w:tblStyle w:val="20"/>
        <w:tblW w:w="1074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97"/>
        <w:gridCol w:w="1725"/>
        <w:gridCol w:w="1395"/>
        <w:gridCol w:w="2055"/>
        <w:gridCol w:w="2055"/>
        <w:gridCol w:w="3119"/>
      </w:tblGrid>
      <w:tr w14:paraId="0F314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35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5AADB6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序号</w:t>
            </w:r>
          </w:p>
        </w:tc>
        <w:tc>
          <w:tcPr>
            <w:tcW w:w="169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E92709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136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56A04F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202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6AF5CA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202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A50A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307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BA21E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4CFE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88FDD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169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D3F832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136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61D981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202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1440D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02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16092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307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81119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模型记录唯一ID</w:t>
            </w:r>
          </w:p>
        </w:tc>
      </w:tr>
      <w:tr w14:paraId="4884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0EA7D0D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226AA4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user_id</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0867044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76661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BADD82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w:t>
            </w:r>
            <w:r>
              <w:rPr>
                <w:rFonts w:hint="eastAsia" w:hAnsi="Cambria Math" w:cs="宋体"/>
                <w:i w:val="0"/>
                <w:sz w:val="21"/>
                <w:szCs w:val="21"/>
                <w:lang w:val="en-US" w:eastAsia="zh-CN"/>
              </w:rPr>
              <w:t>，</w:t>
            </w:r>
            <w:r>
              <w:rPr>
                <w:rFonts w:hint="default" w:hAnsi="Cambria Math" w:cs="宋体"/>
                <w:i w:val="0"/>
                <w:sz w:val="21"/>
                <w:szCs w:val="21"/>
                <w:lang w:val="en-US" w:eastAsia="zh-CN"/>
              </w:rPr>
              <w:t>级联删除</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568CD85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训练该模型的所属用户ID</w:t>
            </w:r>
          </w:p>
        </w:tc>
      </w:tr>
      <w:tr w14:paraId="3BE14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1FA2B8A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7BA414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name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7AABADD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VARCHAR(100)</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062265A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353A7C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70CC629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算法模型名称</w:t>
            </w:r>
          </w:p>
        </w:tc>
      </w:tr>
      <w:tr w14:paraId="0C439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26BA8B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7A3E59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algorithm_type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21B0629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VARCHAR(50)</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33C729F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314FCB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5BD1BBB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核心算法类型</w:t>
            </w:r>
          </w:p>
        </w:tc>
      </w:tr>
      <w:tr w14:paraId="2E33B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095D69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30C4A4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framework</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2142712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VARCHAR(50)</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4CF71C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'PyTorch'</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21D572C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714693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依赖的深度学习框架</w:t>
            </w:r>
          </w:p>
        </w:tc>
      </w:tr>
      <w:tr w14:paraId="4020D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1D9CF4A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7D561C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description</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2B146A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437D698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125EF2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4A9D55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模型的详细描述与应用场景</w:t>
            </w:r>
          </w:p>
        </w:tc>
      </w:tr>
      <w:tr w14:paraId="1C9EB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441D85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0B5F819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hyperparameters</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12A6F3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064116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00A5B9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6A0279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训练使用的超参数配置</w:t>
            </w:r>
          </w:p>
        </w:tc>
      </w:tr>
      <w:tr w14:paraId="01571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500A3C6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35867D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architecture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1B1D771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4220BD3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CD3657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74106B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神经网络架构层级定义</w:t>
            </w:r>
          </w:p>
        </w:tc>
      </w:tr>
      <w:tr w14:paraId="4A51A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6E9413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7509979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input_shape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1EFD14A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4FEDE6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4982BF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099F5B0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输入张量的特征维度</w:t>
            </w:r>
          </w:p>
        </w:tc>
      </w:tr>
      <w:tr w14:paraId="4C5DF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0DBD813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192DBD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output_shape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25528A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4744DF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03017F2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70E02F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输出张量的预测维度</w:t>
            </w:r>
          </w:p>
        </w:tc>
      </w:tr>
      <w:tr w14:paraId="4C3C7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43AB75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40B2FA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metrics</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776A0B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52AFF1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6B86F0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005BB9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模型默认的评价指标记录</w:t>
            </w:r>
          </w:p>
        </w:tc>
      </w:tr>
      <w:tr w14:paraId="78279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01AF16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1E67062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trained_at</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1AA2C74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1DACB7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677F2C4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49E4544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模型训练完成生成时间</w:t>
            </w:r>
          </w:p>
        </w:tc>
      </w:tr>
      <w:tr w14:paraId="4E399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76E471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5EFA3D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status</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339D60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VARCHAR(20)</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55E948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'completed'</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0AF566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3FEFF4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模型的当前可用状态</w:t>
            </w:r>
          </w:p>
        </w:tc>
      </w:tr>
      <w:tr w14:paraId="5B70D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41AD585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14</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084E1F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model_path</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61B861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VARCHAR(255)</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246DA2F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584B80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29EBE6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模型权重文件的物理存放路径</w:t>
            </w:r>
          </w:p>
        </w:tc>
      </w:tr>
      <w:tr w14:paraId="3E931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52D2F4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15</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0EDD423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checkpoint_path</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468BE5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VARCHAR(255)</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D9F27F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740CA7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3EFC33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训练中途保存的检查点路径</w:t>
            </w:r>
          </w:p>
        </w:tc>
      </w:tr>
      <w:tr w14:paraId="04969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7F82FED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16</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31E04D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model_size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01BAC19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376B78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5010B5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618488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模型文件占用大小</w:t>
            </w:r>
          </w:p>
        </w:tc>
      </w:tr>
      <w:tr w14:paraId="665EB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6468B2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17</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190B89C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is_active</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7C986E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TINYINT(1)</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4507398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553026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46DAD4E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模型软删除标记</w:t>
            </w:r>
          </w:p>
        </w:tc>
      </w:tr>
      <w:tr w14:paraId="2F745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nil"/>
              <w:right w:val="nil"/>
            </w:tcBorders>
            <w:shd w:val="clear" w:color="auto" w:fill="auto"/>
            <w:noWrap w:val="0"/>
            <w:tcMar>
              <w:top w:w="-1" w:type="dxa"/>
              <w:left w:w="-1" w:type="dxa"/>
              <w:bottom w:w="-1" w:type="dxa"/>
              <w:right w:w="-1" w:type="dxa"/>
            </w:tcMar>
            <w:vAlign w:val="center"/>
          </w:tcPr>
          <w:p w14:paraId="412707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18</w:t>
            </w:r>
          </w:p>
        </w:tc>
        <w:tc>
          <w:tcPr>
            <w:tcW w:w="1695" w:type="dxa"/>
            <w:tcBorders>
              <w:top w:val="nil"/>
              <w:left w:val="nil"/>
              <w:bottom w:val="nil"/>
              <w:right w:val="nil"/>
            </w:tcBorders>
            <w:shd w:val="clear" w:color="auto" w:fill="auto"/>
            <w:noWrap w:val="0"/>
            <w:tcMar>
              <w:top w:w="-1" w:type="dxa"/>
              <w:left w:w="-1" w:type="dxa"/>
              <w:bottom w:w="-1" w:type="dxa"/>
              <w:right w:w="-1" w:type="dxa"/>
            </w:tcMar>
            <w:vAlign w:val="center"/>
          </w:tcPr>
          <w:p w14:paraId="1A110B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365" w:type="dxa"/>
            <w:tcBorders>
              <w:top w:val="nil"/>
              <w:left w:val="nil"/>
              <w:bottom w:val="nil"/>
              <w:right w:val="nil"/>
            </w:tcBorders>
            <w:shd w:val="clear" w:color="auto" w:fill="auto"/>
            <w:noWrap w:val="0"/>
            <w:tcMar>
              <w:top w:w="-1" w:type="dxa"/>
              <w:left w:w="-1" w:type="dxa"/>
              <w:bottom w:w="-1" w:type="dxa"/>
              <w:right w:w="-1" w:type="dxa"/>
            </w:tcMar>
            <w:vAlign w:val="center"/>
          </w:tcPr>
          <w:p w14:paraId="102244B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53E107D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025" w:type="dxa"/>
            <w:tcBorders>
              <w:top w:val="nil"/>
              <w:left w:val="nil"/>
              <w:bottom w:val="nil"/>
              <w:right w:val="nil"/>
            </w:tcBorders>
            <w:shd w:val="clear" w:color="auto" w:fill="auto"/>
            <w:noWrap w:val="0"/>
            <w:tcMar>
              <w:top w:w="-1" w:type="dxa"/>
              <w:left w:w="-1" w:type="dxa"/>
              <w:bottom w:w="-1" w:type="dxa"/>
              <w:right w:w="-1" w:type="dxa"/>
            </w:tcMar>
            <w:vAlign w:val="center"/>
          </w:tcPr>
          <w:p w14:paraId="099981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74" w:type="dxa"/>
            <w:tcBorders>
              <w:top w:val="nil"/>
              <w:left w:val="nil"/>
              <w:bottom w:val="nil"/>
              <w:right w:val="nil"/>
            </w:tcBorders>
            <w:shd w:val="clear" w:color="auto" w:fill="auto"/>
            <w:noWrap w:val="0"/>
            <w:tcMar>
              <w:top w:w="-1" w:type="dxa"/>
              <w:left w:w="-1" w:type="dxa"/>
              <w:bottom w:w="-1" w:type="dxa"/>
              <w:right w:w="-1" w:type="dxa"/>
            </w:tcMar>
            <w:vAlign w:val="center"/>
          </w:tcPr>
          <w:p w14:paraId="1D53549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记录生成时间</w:t>
            </w:r>
          </w:p>
        </w:tc>
      </w:tr>
      <w:tr w14:paraId="688B2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EEC4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19</w:t>
            </w:r>
          </w:p>
        </w:tc>
        <w:tc>
          <w:tcPr>
            <w:tcW w:w="169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27326D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updated_at</w:t>
            </w:r>
          </w:p>
        </w:tc>
        <w:tc>
          <w:tcPr>
            <w:tcW w:w="13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EA580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20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A9D60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02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94224F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30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D670A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记录更新时间</w:t>
            </w:r>
          </w:p>
        </w:tc>
      </w:tr>
    </w:tbl>
    <w:p w14:paraId="36321414">
      <w:pPr>
        <w:keepNext w:val="0"/>
        <w:keepLines w:val="0"/>
        <w:pageBreakBefore w:val="0"/>
        <w:widowControl w:val="0"/>
        <w:kinsoku/>
        <w:wordWrap/>
        <w:overflowPunct/>
        <w:topLinePunct w:val="0"/>
        <w:autoSpaceDE/>
        <w:autoSpaceDN/>
        <w:bidi w:val="0"/>
        <w:adjustRightInd/>
        <w:spacing w:line="276"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w:t>
      </w:r>
      <w:r>
        <w:rPr>
          <w:rFonts w:hint="eastAsia" w:ascii="宋体" w:hAnsi="宋体" w:eastAsia="宋体" w:cs="宋体"/>
          <w:b/>
          <w:bCs/>
          <w:sz w:val="21"/>
          <w:szCs w:val="21"/>
          <w:lang w:val="en-US" w:eastAsia="zh-CN"/>
        </w:rPr>
        <w:t>5）</w:t>
      </w:r>
      <w:r>
        <w:rPr>
          <w:rFonts w:hint="default" w:ascii="宋体" w:hAnsi="宋体" w:eastAsia="宋体" w:cs="宋体"/>
          <w:b/>
          <w:bCs/>
          <w:sz w:val="21"/>
          <w:szCs w:val="21"/>
        </w:rPr>
        <w:t>AI训练数据集表（datasets）</w:t>
      </w:r>
    </w:p>
    <w:tbl>
      <w:tblPr>
        <w:tblStyle w:val="20"/>
        <w:tblW w:w="11089"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05"/>
        <w:gridCol w:w="1579"/>
        <w:gridCol w:w="1770"/>
        <w:gridCol w:w="1982"/>
        <w:gridCol w:w="1995"/>
        <w:gridCol w:w="3058"/>
      </w:tblGrid>
      <w:tr w14:paraId="3341C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6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D3200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序号</w:t>
            </w:r>
          </w:p>
        </w:tc>
        <w:tc>
          <w:tcPr>
            <w:tcW w:w="154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FE817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字段名</w:t>
            </w:r>
          </w:p>
        </w:tc>
        <w:tc>
          <w:tcPr>
            <w:tcW w:w="174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F7EDA2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数据类型</w:t>
            </w:r>
          </w:p>
        </w:tc>
        <w:tc>
          <w:tcPr>
            <w:tcW w:w="195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65977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缺省值</w:t>
            </w:r>
          </w:p>
        </w:tc>
        <w:tc>
          <w:tcPr>
            <w:tcW w:w="196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20983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约束与索引说明</w:t>
            </w:r>
          </w:p>
        </w:tc>
        <w:tc>
          <w:tcPr>
            <w:tcW w:w="301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B1AB9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字段说明</w:t>
            </w:r>
          </w:p>
        </w:tc>
      </w:tr>
      <w:tr w14:paraId="4EC86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6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0E600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154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8FC65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174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D791AD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95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651276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96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D44FC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301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8A8DC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数据集记录唯一ID</w:t>
            </w:r>
          </w:p>
        </w:tc>
      </w:tr>
      <w:tr w14:paraId="48947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189177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6965075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user_id</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371BB9F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1C6390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0C71353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级联删除</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798308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上传或创建该数据集的用户ID</w:t>
            </w:r>
          </w:p>
        </w:tc>
      </w:tr>
      <w:tr w14:paraId="366B1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52D655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7BF71C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name</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73BC0B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VARCHAR(100)</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107A6E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2B6C52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5FBB91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数据集自定义名称</w:t>
            </w:r>
          </w:p>
        </w:tc>
      </w:tr>
      <w:tr w14:paraId="3818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59D43B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350275D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description</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32051D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65FEDE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3763D49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4F35298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数据集业务说明或论文引用</w:t>
            </w:r>
          </w:p>
        </w:tc>
      </w:tr>
      <w:tr w14:paraId="632F4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1DD4D11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464DD26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file_path</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5D229A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VARCHAR(255)</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5B8FF42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2AE786A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44CB42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物理文件的服务器存储路径</w:t>
            </w:r>
          </w:p>
        </w:tc>
      </w:tr>
      <w:tr w14:paraId="5A18D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5BE72B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3993EE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file_size</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5428F47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BIGINT</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66D42D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5421E3E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427773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 xml:space="preserve">文件占用存储大小 </w:t>
            </w:r>
          </w:p>
        </w:tc>
      </w:tr>
      <w:tr w14:paraId="69F1E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2F229A5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4AE6FF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record_count</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684010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1B2C379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6878265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31D39D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数据集包含的样本总行数</w:t>
            </w:r>
          </w:p>
        </w:tc>
      </w:tr>
      <w:tr w14:paraId="74756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055C26F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25E598F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status</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7FF5FF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VARCHAR(20)</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41A3F8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'active'</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6A333B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54830C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当前数据集状态</w:t>
            </w:r>
          </w:p>
        </w:tc>
      </w:tr>
      <w:tr w14:paraId="7A072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6B52D27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65EA13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is_public</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750E917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TINYINT(1)</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09F1189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'0'</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6EF610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11760E6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是否对全站用户公开 (1=是, 0=否)</w:t>
            </w:r>
          </w:p>
        </w:tc>
      </w:tr>
      <w:tr w14:paraId="3EB86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6667A0D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5BFBC07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data_format</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64C89B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VARCHAR(20)</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74AC75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'csv'</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0143E32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1ADEA6A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 xml:space="preserve">数据集文件格式 </w:t>
            </w:r>
          </w:p>
        </w:tc>
      </w:tr>
      <w:tr w14:paraId="31BA0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042817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5E63D96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021659E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58590E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3F72EA4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1A9128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数据集入库时间</w:t>
            </w:r>
          </w:p>
        </w:tc>
      </w:tr>
      <w:tr w14:paraId="58BAE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nil"/>
              <w:right w:val="nil"/>
            </w:tcBorders>
            <w:shd w:val="clear" w:color="auto" w:fill="auto"/>
            <w:noWrap w:val="0"/>
            <w:tcMar>
              <w:top w:w="-1" w:type="dxa"/>
              <w:left w:w="-1" w:type="dxa"/>
              <w:bottom w:w="-1" w:type="dxa"/>
              <w:right w:w="-1" w:type="dxa"/>
            </w:tcMar>
            <w:vAlign w:val="center"/>
          </w:tcPr>
          <w:p w14:paraId="337714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1549" w:type="dxa"/>
            <w:tcBorders>
              <w:top w:val="nil"/>
              <w:left w:val="nil"/>
              <w:bottom w:val="nil"/>
              <w:right w:val="nil"/>
            </w:tcBorders>
            <w:shd w:val="clear" w:color="auto" w:fill="auto"/>
            <w:noWrap w:val="0"/>
            <w:tcMar>
              <w:top w:w="-1" w:type="dxa"/>
              <w:left w:w="-1" w:type="dxa"/>
              <w:bottom w:w="-1" w:type="dxa"/>
              <w:right w:w="-1" w:type="dxa"/>
            </w:tcMar>
            <w:vAlign w:val="center"/>
          </w:tcPr>
          <w:p w14:paraId="11CBF27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updated_at</w:t>
            </w:r>
          </w:p>
        </w:tc>
        <w:tc>
          <w:tcPr>
            <w:tcW w:w="1740" w:type="dxa"/>
            <w:tcBorders>
              <w:top w:val="nil"/>
              <w:left w:val="nil"/>
              <w:bottom w:val="nil"/>
              <w:right w:val="nil"/>
            </w:tcBorders>
            <w:shd w:val="clear" w:color="auto" w:fill="auto"/>
            <w:noWrap w:val="0"/>
            <w:tcMar>
              <w:top w:w="-1" w:type="dxa"/>
              <w:left w:w="-1" w:type="dxa"/>
              <w:bottom w:w="-1" w:type="dxa"/>
              <w:right w:w="-1" w:type="dxa"/>
            </w:tcMar>
            <w:vAlign w:val="center"/>
          </w:tcPr>
          <w:p w14:paraId="7477D62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952" w:type="dxa"/>
            <w:tcBorders>
              <w:top w:val="nil"/>
              <w:left w:val="nil"/>
              <w:bottom w:val="nil"/>
              <w:right w:val="nil"/>
            </w:tcBorders>
            <w:shd w:val="clear" w:color="auto" w:fill="auto"/>
            <w:noWrap w:val="0"/>
            <w:tcMar>
              <w:top w:w="-1" w:type="dxa"/>
              <w:left w:w="-1" w:type="dxa"/>
              <w:bottom w:w="-1" w:type="dxa"/>
              <w:right w:w="-1" w:type="dxa"/>
            </w:tcMar>
            <w:vAlign w:val="center"/>
          </w:tcPr>
          <w:p w14:paraId="3F2E851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1965" w:type="dxa"/>
            <w:tcBorders>
              <w:top w:val="nil"/>
              <w:left w:val="nil"/>
              <w:bottom w:val="nil"/>
              <w:right w:val="nil"/>
            </w:tcBorders>
            <w:shd w:val="clear" w:color="auto" w:fill="auto"/>
            <w:noWrap w:val="0"/>
            <w:tcMar>
              <w:top w:w="-1" w:type="dxa"/>
              <w:left w:w="-1" w:type="dxa"/>
              <w:bottom w:w="-1" w:type="dxa"/>
              <w:right w:w="-1" w:type="dxa"/>
            </w:tcMar>
            <w:vAlign w:val="center"/>
          </w:tcPr>
          <w:p w14:paraId="4922F76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3013" w:type="dxa"/>
            <w:tcBorders>
              <w:top w:val="nil"/>
              <w:left w:val="nil"/>
              <w:bottom w:val="nil"/>
              <w:right w:val="nil"/>
            </w:tcBorders>
            <w:shd w:val="clear" w:color="auto" w:fill="auto"/>
            <w:noWrap w:val="0"/>
            <w:tcMar>
              <w:top w:w="-1" w:type="dxa"/>
              <w:left w:w="-1" w:type="dxa"/>
              <w:bottom w:w="-1" w:type="dxa"/>
              <w:right w:w="-1" w:type="dxa"/>
            </w:tcMar>
            <w:vAlign w:val="center"/>
          </w:tcPr>
          <w:p w14:paraId="57D62BD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信息更新时间</w:t>
            </w:r>
          </w:p>
        </w:tc>
      </w:tr>
      <w:tr w14:paraId="158FE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6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490A6C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154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E17BF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is_active</w:t>
            </w:r>
          </w:p>
        </w:tc>
        <w:tc>
          <w:tcPr>
            <w:tcW w:w="174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505DEE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TINYINT(1)</w:t>
            </w:r>
          </w:p>
        </w:tc>
        <w:tc>
          <w:tcPr>
            <w:tcW w:w="195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4B9AA3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19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902555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1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CE74CE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软删除标记 (1=有效, 0=已删除)</w:t>
            </w:r>
          </w:p>
        </w:tc>
      </w:tr>
    </w:tbl>
    <w:p w14:paraId="56041E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hAnsi="Cambria Math" w:cs="宋体"/>
          <w:i w:val="0"/>
          <w:sz w:val="21"/>
          <w:szCs w:val="21"/>
          <w:lang w:val="en-US" w:eastAsia="zh-CN"/>
        </w:rPr>
      </w:pPr>
    </w:p>
    <w:p w14:paraId="36E97E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hAnsi="Cambria Math" w:cs="宋体"/>
          <w:i w:val="0"/>
          <w:sz w:val="21"/>
          <w:szCs w:val="21"/>
          <w:lang w:val="en-US" w:eastAsia="zh-CN"/>
        </w:rPr>
      </w:pPr>
    </w:p>
    <w:p w14:paraId="1215274F">
      <w:pPr>
        <w:keepNext w:val="0"/>
        <w:keepLines w:val="0"/>
        <w:pageBreakBefore w:val="0"/>
        <w:widowControl w:val="0"/>
        <w:kinsoku/>
        <w:wordWrap/>
        <w:overflowPunct/>
        <w:topLinePunct w:val="0"/>
        <w:autoSpaceDE/>
        <w:autoSpaceDN/>
        <w:bidi w:val="0"/>
        <w:adjustRightInd/>
        <w:spacing w:line="276" w:lineRule="auto"/>
        <w:textAlignment w:val="auto"/>
        <w:rPr>
          <w:rFonts w:hint="eastAsia" w:ascii="宋体" w:hAnsi="宋体" w:eastAsia="宋体" w:cs="宋体"/>
          <w:b/>
          <w:bCs/>
          <w:sz w:val="21"/>
          <w:szCs w:val="21"/>
        </w:rPr>
      </w:pPr>
      <w:r>
        <w:rPr>
          <w:rFonts w:hint="eastAsia" w:cs="宋体"/>
          <w:b/>
          <w:bCs/>
          <w:sz w:val="21"/>
          <w:szCs w:val="21"/>
          <w:lang w:eastAsia="zh-CN"/>
        </w:rPr>
        <w:t>（</w:t>
      </w:r>
      <w:r>
        <w:rPr>
          <w:rFonts w:hint="default" w:ascii="宋体" w:hAnsi="宋体" w:eastAsia="宋体" w:cs="宋体"/>
          <w:b/>
          <w:bCs/>
          <w:sz w:val="21"/>
          <w:szCs w:val="21"/>
        </w:rPr>
        <w:t>6</w:t>
      </w:r>
      <w:r>
        <w:rPr>
          <w:rFonts w:hint="eastAsia" w:cs="宋体"/>
          <w:b/>
          <w:bCs/>
          <w:sz w:val="21"/>
          <w:szCs w:val="21"/>
          <w:lang w:eastAsia="zh-CN"/>
        </w:rPr>
        <w:t>）</w:t>
      </w:r>
      <w:r>
        <w:rPr>
          <w:rFonts w:hint="default" w:ascii="宋体" w:hAnsi="宋体" w:eastAsia="宋体" w:cs="宋体"/>
          <w:b/>
          <w:bCs/>
          <w:sz w:val="21"/>
          <w:szCs w:val="21"/>
        </w:rPr>
        <w:t>电池运行特征统计表（data_statistics）</w:t>
      </w:r>
    </w:p>
    <w:tbl>
      <w:tblPr>
        <w:tblStyle w:val="20"/>
        <w:tblW w:w="1079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36"/>
        <w:gridCol w:w="1940"/>
        <w:gridCol w:w="1500"/>
        <w:gridCol w:w="1519"/>
        <w:gridCol w:w="2677"/>
        <w:gridCol w:w="2519"/>
      </w:tblGrid>
      <w:tr w14:paraId="68F68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A346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序号</w:t>
            </w:r>
          </w:p>
        </w:tc>
        <w:tc>
          <w:tcPr>
            <w:tcW w:w="191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596480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字段名</w:t>
            </w:r>
          </w:p>
        </w:tc>
        <w:tc>
          <w:tcPr>
            <w:tcW w:w="147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A99E6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数据类型</w:t>
            </w:r>
          </w:p>
        </w:tc>
        <w:tc>
          <w:tcPr>
            <w:tcW w:w="148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2D9128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缺省值</w:t>
            </w:r>
          </w:p>
        </w:tc>
        <w:tc>
          <w:tcPr>
            <w:tcW w:w="264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F09C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约束与索引说明</w:t>
            </w:r>
          </w:p>
        </w:tc>
        <w:tc>
          <w:tcPr>
            <w:tcW w:w="247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E917CA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bCs/>
                <w:i w:val="0"/>
                <w:sz w:val="21"/>
                <w:szCs w:val="21"/>
                <w:lang w:val="en-US" w:eastAsia="zh-CN"/>
              </w:rPr>
            </w:pPr>
            <w:r>
              <w:rPr>
                <w:rFonts w:hint="default" w:hAnsi="Cambria Math" w:cs="宋体"/>
                <w:b/>
                <w:bCs/>
                <w:i w:val="0"/>
                <w:sz w:val="21"/>
                <w:szCs w:val="21"/>
                <w:lang w:val="en-US" w:eastAsia="zh-CN"/>
              </w:rPr>
              <w:t>字段说明</w:t>
            </w:r>
          </w:p>
        </w:tc>
      </w:tr>
      <w:tr w14:paraId="7E1FA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E3C05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191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181313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stat_id</w:t>
            </w:r>
          </w:p>
        </w:tc>
        <w:tc>
          <w:tcPr>
            <w:tcW w:w="147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9D84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48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21838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64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58FA3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247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B0CB4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统计报表唯一ID</w:t>
            </w:r>
          </w:p>
        </w:tc>
      </w:tr>
      <w:tr w14:paraId="36333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FE8341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78AD71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battery_id</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5916959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5E8097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082901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w:t>
            </w:r>
            <w:r>
              <w:rPr>
                <w:rFonts w:hint="eastAsia" w:hAnsi="Cambria Math" w:cs="宋体"/>
                <w:i w:val="0"/>
                <w:sz w:val="21"/>
                <w:szCs w:val="21"/>
                <w:lang w:val="en-US" w:eastAsia="zh-CN"/>
              </w:rPr>
              <w:t>（关联</w:t>
            </w:r>
            <w:r>
              <w:rPr>
                <w:rFonts w:hint="default" w:hAnsi="Cambria Math" w:cs="宋体"/>
                <w:i w:val="0"/>
                <w:sz w:val="21"/>
                <w:szCs w:val="21"/>
                <w:lang w:val="en-US" w:eastAsia="zh-CN"/>
              </w:rPr>
              <w:t>battery_id)级联删除, 唯一索引</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4E86D7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被统计的电池ID</w:t>
            </w:r>
          </w:p>
        </w:tc>
      </w:tr>
      <w:tr w14:paraId="3717A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5E560C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5FDF78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voltage_mean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10ED57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115AF6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0DBD02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656B6E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生命周期内电压平均值</w:t>
            </w:r>
          </w:p>
        </w:tc>
      </w:tr>
      <w:tr w14:paraId="39D0D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9FAE6D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1FBC1E2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voltage_min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0C11E4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7DCB44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5A668A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457EE1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生命周期内电压最小值</w:t>
            </w:r>
          </w:p>
        </w:tc>
      </w:tr>
      <w:tr w14:paraId="49351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F280D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6E86ED3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voltage_max</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2DC74B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2BF1C4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7341A0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55DD90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生命周期内电压最大值</w:t>
            </w:r>
          </w:p>
        </w:tc>
      </w:tr>
      <w:tr w14:paraId="2D8CF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D07EDD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36DC9A2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2FA657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1830A1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4AF45E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16EEBFF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生命周期内电流平均值</w:t>
            </w:r>
          </w:p>
        </w:tc>
      </w:tr>
      <w:tr w14:paraId="79FF6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767A9D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712525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temperature_mean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09011CE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42CB8CC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20D660C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100255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生命周期内温度平均值</w:t>
            </w:r>
          </w:p>
        </w:tc>
      </w:tr>
      <w:tr w14:paraId="62230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759E8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64F9410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capacity_mean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5E5D623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1E601A6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4B66C7C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55A82F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生命周期内容量衰减均值</w:t>
            </w:r>
          </w:p>
        </w:tc>
      </w:tr>
      <w:tr w14:paraId="60CED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73D0244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58EE00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resistance_mean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11C40C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7C639E2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3A7381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5615D65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生命周期内内阻均值</w:t>
            </w:r>
          </w:p>
        </w:tc>
      </w:tr>
      <w:tr w14:paraId="1BBFE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97299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1A85CAA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soc_mean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12F911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7FBA8E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33BD3DC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7FF3CE5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整体SOC分布均值</w:t>
            </w:r>
          </w:p>
        </w:tc>
      </w:tr>
      <w:tr w14:paraId="09E5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38888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6CA576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soh_mean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142C9F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03CC76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6AE27F2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2D8F05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整体SOH衰减趋势均值</w:t>
            </w:r>
          </w:p>
        </w:tc>
      </w:tr>
      <w:tr w14:paraId="75EEF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7A44F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077A07A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power_mean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6854D5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07A362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19B8B7D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5B39A6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生命周期内充放电功率均值</w:t>
            </w:r>
          </w:p>
        </w:tc>
      </w:tr>
      <w:tr w14:paraId="71846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1EFAF33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4162CAE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rul_mean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4FCD23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7296FE7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2A7C20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11269A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剩余寿命统计特征均值</w:t>
            </w:r>
          </w:p>
        </w:tc>
      </w:tr>
      <w:tr w14:paraId="29E83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79F09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14</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320D9D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pcl_mean</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57B214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DECIMAL(10,4)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2CA4AE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2006F7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039CC15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容量衰减统计特征均值</w:t>
            </w:r>
          </w:p>
        </w:tc>
      </w:tr>
      <w:tr w14:paraId="12B14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FE4B1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15</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40E8959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total_cycles</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3D43716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1E55600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102F2D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0F8395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统计覆盖的总有效循环数</w:t>
            </w:r>
          </w:p>
        </w:tc>
      </w:tr>
      <w:tr w14:paraId="19225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D1B06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16</w:t>
            </w:r>
          </w:p>
        </w:tc>
        <w:tc>
          <w:tcPr>
            <w:tcW w:w="1910" w:type="dxa"/>
            <w:tcBorders>
              <w:top w:val="nil"/>
              <w:left w:val="nil"/>
              <w:bottom w:val="nil"/>
              <w:right w:val="nil"/>
            </w:tcBorders>
            <w:shd w:val="clear" w:color="auto" w:fill="auto"/>
            <w:noWrap w:val="0"/>
            <w:tcMar>
              <w:top w:w="-1" w:type="dxa"/>
              <w:left w:w="-1" w:type="dxa"/>
              <w:bottom w:w="-1" w:type="dxa"/>
              <w:right w:w="-1" w:type="dxa"/>
            </w:tcMar>
            <w:vAlign w:val="center"/>
          </w:tcPr>
          <w:p w14:paraId="5E863E0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data_completeness</w:t>
            </w:r>
          </w:p>
        </w:tc>
        <w:tc>
          <w:tcPr>
            <w:tcW w:w="1470" w:type="dxa"/>
            <w:tcBorders>
              <w:top w:val="nil"/>
              <w:left w:val="nil"/>
              <w:bottom w:val="nil"/>
              <w:right w:val="nil"/>
            </w:tcBorders>
            <w:shd w:val="clear" w:color="auto" w:fill="auto"/>
            <w:noWrap w:val="0"/>
            <w:tcMar>
              <w:top w:w="-1" w:type="dxa"/>
              <w:left w:w="-1" w:type="dxa"/>
              <w:bottom w:w="-1" w:type="dxa"/>
              <w:right w:w="-1" w:type="dxa"/>
            </w:tcMar>
            <w:vAlign w:val="center"/>
          </w:tcPr>
          <w:p w14:paraId="3031C74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DECIMAL(5,4)</w:t>
            </w:r>
          </w:p>
        </w:tc>
        <w:tc>
          <w:tcPr>
            <w:tcW w:w="1489" w:type="dxa"/>
            <w:tcBorders>
              <w:top w:val="nil"/>
              <w:left w:val="nil"/>
              <w:bottom w:val="nil"/>
              <w:right w:val="nil"/>
            </w:tcBorders>
            <w:shd w:val="clear" w:color="auto" w:fill="auto"/>
            <w:noWrap w:val="0"/>
            <w:tcMar>
              <w:top w:w="-1" w:type="dxa"/>
              <w:left w:w="-1" w:type="dxa"/>
              <w:bottom w:w="-1" w:type="dxa"/>
              <w:right w:w="-1" w:type="dxa"/>
            </w:tcMar>
            <w:vAlign w:val="center"/>
          </w:tcPr>
          <w:p w14:paraId="4813F3C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'1.0000'</w:t>
            </w:r>
          </w:p>
        </w:tc>
        <w:tc>
          <w:tcPr>
            <w:tcW w:w="2647" w:type="dxa"/>
            <w:tcBorders>
              <w:top w:val="nil"/>
              <w:left w:val="nil"/>
              <w:bottom w:val="nil"/>
              <w:right w:val="nil"/>
            </w:tcBorders>
            <w:shd w:val="clear" w:color="auto" w:fill="auto"/>
            <w:noWrap w:val="0"/>
            <w:tcMar>
              <w:top w:w="-1" w:type="dxa"/>
              <w:left w:w="-1" w:type="dxa"/>
              <w:bottom w:w="-1" w:type="dxa"/>
              <w:right w:w="-1" w:type="dxa"/>
            </w:tcMar>
            <w:vAlign w:val="center"/>
          </w:tcPr>
          <w:p w14:paraId="1C91E7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74" w:type="dxa"/>
            <w:tcBorders>
              <w:top w:val="nil"/>
              <w:left w:val="nil"/>
              <w:bottom w:val="nil"/>
              <w:right w:val="nil"/>
            </w:tcBorders>
            <w:shd w:val="clear" w:color="auto" w:fill="auto"/>
            <w:noWrap w:val="0"/>
            <w:tcMar>
              <w:top w:w="-1" w:type="dxa"/>
              <w:left w:w="-1" w:type="dxa"/>
              <w:bottom w:w="-1" w:type="dxa"/>
              <w:right w:w="-1" w:type="dxa"/>
            </w:tcMar>
            <w:vAlign w:val="center"/>
          </w:tcPr>
          <w:p w14:paraId="7B9687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数据集样本点完整度 (0~1)</w:t>
            </w:r>
          </w:p>
        </w:tc>
      </w:tr>
      <w:tr w14:paraId="1EC3C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E6F3B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17</w:t>
            </w:r>
          </w:p>
        </w:tc>
        <w:tc>
          <w:tcPr>
            <w:tcW w:w="191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73A05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last_updated</w:t>
            </w:r>
          </w:p>
        </w:tc>
        <w:tc>
          <w:tcPr>
            <w:tcW w:w="14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3B36E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48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2EF09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64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C1146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24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B2DE26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该数据的最后重算时间</w:t>
            </w:r>
          </w:p>
        </w:tc>
      </w:tr>
    </w:tbl>
    <w:p w14:paraId="24E93FF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宋体" w:hAnsi="宋体" w:eastAsia="宋体" w:cs="宋体"/>
          <w:sz w:val="21"/>
          <w:szCs w:val="21"/>
        </w:rPr>
      </w:pPr>
      <w:r>
        <w:rPr>
          <w:rFonts w:hint="eastAsia" w:cs="宋体"/>
          <w:b/>
          <w:bCs/>
          <w:sz w:val="21"/>
          <w:szCs w:val="21"/>
          <w:lang w:eastAsia="zh-CN"/>
        </w:rPr>
        <w:t>（</w:t>
      </w:r>
      <w:r>
        <w:rPr>
          <w:rFonts w:hint="default" w:cs="宋体"/>
          <w:b/>
          <w:bCs/>
          <w:sz w:val="21"/>
          <w:szCs w:val="21"/>
          <w:lang w:eastAsia="zh-CN"/>
        </w:rPr>
        <w:t>7</w:t>
      </w:r>
      <w:r>
        <w:rPr>
          <w:rFonts w:hint="eastAsia" w:cs="宋体"/>
          <w:b/>
          <w:bCs/>
          <w:sz w:val="21"/>
          <w:szCs w:val="21"/>
          <w:lang w:eastAsia="zh-CN"/>
        </w:rPr>
        <w:t>）</w:t>
      </w:r>
      <w:r>
        <w:rPr>
          <w:rFonts w:hint="default" w:cs="宋体"/>
          <w:b/>
          <w:bCs/>
          <w:sz w:val="21"/>
          <w:szCs w:val="21"/>
          <w:lang w:eastAsia="zh-CN"/>
        </w:rPr>
        <w:t>模型训练任务流水表（training_records）</w:t>
      </w:r>
    </w:p>
    <w:tbl>
      <w:tblPr>
        <w:tblStyle w:val="20"/>
        <w:tblpPr w:leftFromText="180" w:rightFromText="180" w:vertAnchor="text" w:tblpXSpec="center" w:tblpY="1"/>
        <w:tblOverlap w:val="never"/>
        <w:tblW w:w="1080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90"/>
        <w:gridCol w:w="2040"/>
        <w:gridCol w:w="1380"/>
        <w:gridCol w:w="1064"/>
        <w:gridCol w:w="2295"/>
        <w:gridCol w:w="3436"/>
      </w:tblGrid>
      <w:tr w14:paraId="425E4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C193DD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序号</w:t>
            </w:r>
          </w:p>
        </w:tc>
        <w:tc>
          <w:tcPr>
            <w:tcW w:w="201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F5D1CF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135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F822E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103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ACBCB4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226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A72ED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33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ADF67C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1C387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F59B4C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201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183899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135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80BA5B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BIGINT</w:t>
            </w:r>
          </w:p>
        </w:tc>
        <w:tc>
          <w:tcPr>
            <w:tcW w:w="103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C14B3A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26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FF2793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33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6035C5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训练任务流水ID</w:t>
            </w:r>
          </w:p>
        </w:tc>
      </w:tr>
      <w:tr w14:paraId="50012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616EF07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784DD35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user_id</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42A143E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195DAAD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6B84CEA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(关联users.id)</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2232D4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发起训练任务的用户ID</w:t>
            </w:r>
          </w:p>
        </w:tc>
      </w:tr>
      <w:tr w14:paraId="55DF2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34B3AB4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0A376A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model_id</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772043B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73AE1E6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2D4129E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(关联models.id)</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286B3B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正在训练的目标模型ID</w:t>
            </w:r>
          </w:p>
        </w:tc>
      </w:tr>
      <w:tr w14:paraId="7A19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5BD819D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135E2F6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dataset_path</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5148EE2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VARCHAR(255)</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175DB6F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1C54953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0175262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训练所挂载的数据集路径</w:t>
            </w:r>
          </w:p>
        </w:tc>
      </w:tr>
      <w:tr w14:paraId="0D1B8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0037886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3C1A230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training_config</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3A0D1FA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0D4660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516F7E7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3511CAD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本次训练下发的详细配置信息</w:t>
            </w:r>
          </w:p>
        </w:tc>
      </w:tr>
      <w:tr w14:paraId="447BB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42FFA54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7435D5F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optimizer</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591D8C9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VARCHAR(50)</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117D0B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538B099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0BA1180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使用的优化器算法</w:t>
            </w:r>
          </w:p>
        </w:tc>
      </w:tr>
      <w:tr w14:paraId="51F9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1376FBE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5ABC68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learning_rate</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73AFE2B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053EAC7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77D5056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4976042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设定的初始学习率大小</w:t>
            </w:r>
          </w:p>
        </w:tc>
      </w:tr>
      <w:tr w14:paraId="3C2EE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7C2E170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01563D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batch_size</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04FFF65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4A1FFCA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1756274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7A76BD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每批次抓取的样本数量</w:t>
            </w:r>
          </w:p>
        </w:tc>
      </w:tr>
      <w:tr w14:paraId="1BB8C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237564F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77CC9DD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epochs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4DBED2F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253A8CA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260880E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5BFFBE2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设定的最大训练轮数</w:t>
            </w:r>
          </w:p>
        </w:tc>
      </w:tr>
      <w:tr w14:paraId="0CD05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587FA9B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66CDE30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start_time</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6AA90BA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2A99B38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523A2EE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16153B5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任务正式开始训练时间</w:t>
            </w:r>
          </w:p>
        </w:tc>
      </w:tr>
      <w:tr w14:paraId="72F04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6898602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197D688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end_time</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64FE40B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191F7A2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0F0AB9B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0D23F7B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任务结束/终止时间</w:t>
            </w:r>
          </w:p>
        </w:tc>
      </w:tr>
      <w:tr w14:paraId="7472C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43F4871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2E5E28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duration</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4D3C47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0FAD6D8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10F285C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76DDD7A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训练实际总耗时 (秒)</w:t>
            </w:r>
          </w:p>
        </w:tc>
      </w:tr>
      <w:tr w14:paraId="541F6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0649C8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1AB83CF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initial_loss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42B8D4E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6C4ACD4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1E18236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18FF911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第一轮训练的初始损失值</w:t>
            </w:r>
          </w:p>
        </w:tc>
      </w:tr>
      <w:tr w14:paraId="069D5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0CCC6D9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14</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685AFC6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final_loss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62FC8FC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2273F3E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69E9E53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1422C2E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结束时的最终损失值</w:t>
            </w:r>
          </w:p>
        </w:tc>
      </w:tr>
      <w:tr w14:paraId="14FFA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418BA7B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15</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340FC5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best_val_loss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43275F4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7289992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2FBC294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54C1621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验证集上跑出的最优损失值</w:t>
            </w:r>
          </w:p>
        </w:tc>
      </w:tr>
      <w:tr w14:paraId="04516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1BF76AF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16</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28F4420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convergence_epoch</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27F077C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2721698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4044533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14C55C3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损失收敛时对应的轮次</w:t>
            </w:r>
          </w:p>
        </w:tc>
      </w:tr>
      <w:tr w14:paraId="13E6B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59484AC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17</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4F3CA3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train_metrics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14AA6B2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6EEC7DA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00E8518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7C51B44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训练集过程评估指标历史</w:t>
            </w:r>
          </w:p>
        </w:tc>
      </w:tr>
      <w:tr w14:paraId="38222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0F7431E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序号</w:t>
            </w:r>
          </w:p>
        </w:tc>
        <w:tc>
          <w:tcPr>
            <w:tcW w:w="2010"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230F293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1350"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6AA3B8D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1034"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1B3FF0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2265"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413F6F6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3391"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6927B84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500B3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4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61684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18</w:t>
            </w:r>
          </w:p>
        </w:tc>
        <w:tc>
          <w:tcPr>
            <w:tcW w:w="201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2E66AF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validation_metrics</w:t>
            </w:r>
          </w:p>
        </w:tc>
        <w:tc>
          <w:tcPr>
            <w:tcW w:w="135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2A1D2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03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4BC46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32B14C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C12EDE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验证集过程评估指标历史</w:t>
            </w:r>
          </w:p>
        </w:tc>
      </w:tr>
      <w:tr w14:paraId="7BCEC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773B51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19</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268408B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test_metrics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1C61F1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6D78AC5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7FDCCB9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49BF11C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测试集最终评估指标</w:t>
            </w:r>
          </w:p>
        </w:tc>
      </w:tr>
      <w:tr w14:paraId="02871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3D94371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20</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489CAB7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status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0831855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VARCHAR(20)</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58C29CF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'running'</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3B10160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70976E4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任务运行状态 (running/success/</w:t>
            </w:r>
          </w:p>
          <w:p w14:paraId="34CEB8B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failed/aborted)</w:t>
            </w:r>
          </w:p>
        </w:tc>
      </w:tr>
      <w:tr w14:paraId="78232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nil"/>
              <w:right w:val="nil"/>
            </w:tcBorders>
            <w:shd w:val="clear" w:color="auto" w:fill="auto"/>
            <w:noWrap w:val="0"/>
            <w:tcMar>
              <w:top w:w="-1" w:type="dxa"/>
              <w:left w:w="-1" w:type="dxa"/>
              <w:bottom w:w="-1" w:type="dxa"/>
              <w:right w:w="-1" w:type="dxa"/>
            </w:tcMar>
            <w:vAlign w:val="center"/>
          </w:tcPr>
          <w:p w14:paraId="6B2A25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21</w:t>
            </w:r>
          </w:p>
        </w:tc>
        <w:tc>
          <w:tcPr>
            <w:tcW w:w="2010" w:type="dxa"/>
            <w:tcBorders>
              <w:top w:val="nil"/>
              <w:left w:val="nil"/>
              <w:bottom w:val="nil"/>
              <w:right w:val="nil"/>
            </w:tcBorders>
            <w:shd w:val="clear" w:color="auto" w:fill="auto"/>
            <w:noWrap w:val="0"/>
            <w:tcMar>
              <w:top w:w="-1" w:type="dxa"/>
              <w:left w:w="-1" w:type="dxa"/>
              <w:bottom w:w="-1" w:type="dxa"/>
              <w:right w:w="-1" w:type="dxa"/>
            </w:tcMar>
            <w:vAlign w:val="center"/>
          </w:tcPr>
          <w:p w14:paraId="6508AEE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logs</w:t>
            </w:r>
          </w:p>
        </w:tc>
        <w:tc>
          <w:tcPr>
            <w:tcW w:w="1350" w:type="dxa"/>
            <w:tcBorders>
              <w:top w:val="nil"/>
              <w:left w:val="nil"/>
              <w:bottom w:val="nil"/>
              <w:right w:val="nil"/>
            </w:tcBorders>
            <w:shd w:val="clear" w:color="auto" w:fill="auto"/>
            <w:noWrap w:val="0"/>
            <w:tcMar>
              <w:top w:w="-1" w:type="dxa"/>
              <w:left w:w="-1" w:type="dxa"/>
              <w:bottom w:w="-1" w:type="dxa"/>
              <w:right w:w="-1" w:type="dxa"/>
            </w:tcMar>
            <w:vAlign w:val="center"/>
          </w:tcPr>
          <w:p w14:paraId="3062C22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034" w:type="dxa"/>
            <w:tcBorders>
              <w:top w:val="nil"/>
              <w:left w:val="nil"/>
              <w:bottom w:val="nil"/>
              <w:right w:val="nil"/>
            </w:tcBorders>
            <w:shd w:val="clear" w:color="auto" w:fill="auto"/>
            <w:noWrap w:val="0"/>
            <w:tcMar>
              <w:top w:w="-1" w:type="dxa"/>
              <w:left w:w="-1" w:type="dxa"/>
              <w:bottom w:w="-1" w:type="dxa"/>
              <w:right w:w="-1" w:type="dxa"/>
            </w:tcMar>
            <w:vAlign w:val="center"/>
          </w:tcPr>
          <w:p w14:paraId="5C2C63C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265" w:type="dxa"/>
            <w:tcBorders>
              <w:top w:val="nil"/>
              <w:left w:val="nil"/>
              <w:bottom w:val="nil"/>
              <w:right w:val="nil"/>
            </w:tcBorders>
            <w:shd w:val="clear" w:color="auto" w:fill="auto"/>
            <w:noWrap w:val="0"/>
            <w:tcMar>
              <w:top w:w="-1" w:type="dxa"/>
              <w:left w:w="-1" w:type="dxa"/>
              <w:bottom w:w="-1" w:type="dxa"/>
              <w:right w:w="-1" w:type="dxa"/>
            </w:tcMar>
            <w:vAlign w:val="center"/>
          </w:tcPr>
          <w:p w14:paraId="0EDB35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nil"/>
              <w:right w:val="nil"/>
            </w:tcBorders>
            <w:shd w:val="clear" w:color="auto" w:fill="auto"/>
            <w:noWrap w:val="0"/>
            <w:tcMar>
              <w:top w:w="-1" w:type="dxa"/>
              <w:left w:w="-1" w:type="dxa"/>
              <w:bottom w:w="-1" w:type="dxa"/>
              <w:right w:w="-1" w:type="dxa"/>
            </w:tcMar>
            <w:vAlign w:val="center"/>
          </w:tcPr>
          <w:p w14:paraId="2089A3F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终端控制台打印的日志保存</w:t>
            </w:r>
          </w:p>
        </w:tc>
      </w:tr>
      <w:tr w14:paraId="6A4BD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4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927907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22</w:t>
            </w:r>
          </w:p>
        </w:tc>
        <w:tc>
          <w:tcPr>
            <w:tcW w:w="201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22F5C6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3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218FC4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03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3AC98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2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F7315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3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6254C7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任务</w:t>
            </w:r>
          </w:p>
        </w:tc>
      </w:tr>
    </w:tbl>
    <w:p w14:paraId="24796AF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cs="宋体"/>
          <w:b/>
          <w:bCs/>
          <w:sz w:val="21"/>
          <w:szCs w:val="21"/>
          <w:lang w:eastAsia="zh-CN"/>
        </w:rPr>
      </w:pPr>
      <w:r>
        <w:rPr>
          <w:rFonts w:hint="eastAsia" w:cs="宋体"/>
          <w:b/>
          <w:bCs/>
          <w:sz w:val="21"/>
          <w:szCs w:val="21"/>
          <w:lang w:eastAsia="zh-CN"/>
        </w:rPr>
        <w:t>（</w:t>
      </w:r>
      <w:r>
        <w:rPr>
          <w:rFonts w:hint="default" w:cs="宋体"/>
          <w:b/>
          <w:bCs/>
          <w:sz w:val="21"/>
          <w:szCs w:val="21"/>
          <w:lang w:eastAsia="zh-CN"/>
        </w:rPr>
        <w:t>8</w:t>
      </w:r>
      <w:r>
        <w:rPr>
          <w:rFonts w:hint="eastAsia" w:cs="宋体"/>
          <w:b/>
          <w:bCs/>
          <w:sz w:val="21"/>
          <w:szCs w:val="21"/>
          <w:lang w:eastAsia="zh-CN"/>
        </w:rPr>
        <w:t>）</w:t>
      </w:r>
      <w:r>
        <w:rPr>
          <w:rFonts w:hint="default" w:cs="宋体"/>
          <w:b/>
          <w:bCs/>
          <w:sz w:val="21"/>
          <w:szCs w:val="21"/>
          <w:lang w:eastAsia="zh-CN"/>
        </w:rPr>
        <w:t>电池SOH预测记录表（rediction_records）</w:t>
      </w:r>
    </w:p>
    <w:tbl>
      <w:tblPr>
        <w:tblStyle w:val="20"/>
        <w:tblW w:w="1081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
        <w:gridCol w:w="1710"/>
        <w:gridCol w:w="1270"/>
        <w:gridCol w:w="1930"/>
        <w:gridCol w:w="2700"/>
        <w:gridCol w:w="2566"/>
      </w:tblGrid>
      <w:tr w14:paraId="7D307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DB25A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序号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86BA7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E2D2F8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B1C78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8DC27D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252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01EE23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02827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561BD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93167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65C60F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BIGINT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18255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E4D258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252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B13CCB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单次预测请求流水ID</w:t>
            </w:r>
          </w:p>
        </w:tc>
      </w:tr>
      <w:tr w14:paraId="3B86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249CB6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F08BB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user_id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9FF46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DF0F1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836D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(关联users.id)非空</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787421E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发起预测请求的用户ID</w:t>
            </w:r>
          </w:p>
        </w:tc>
      </w:tr>
      <w:tr w14:paraId="743D7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92C7D8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D7618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model_id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46598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5B643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CF30D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(关联models.id) 非空</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6E2FA1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调用执行预测推理的模型ID</w:t>
            </w:r>
          </w:p>
        </w:tc>
      </w:tr>
      <w:tr w14:paraId="7FE09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7EC4C0F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F8B7E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battery_id</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78339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ED11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66E14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(关联battery_info.battery_id)非空</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69C023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预测对象电池ID</w:t>
            </w:r>
          </w:p>
        </w:tc>
      </w:tr>
      <w:tr w14:paraId="2D61B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0FE1A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336A9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input_data</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4F6DD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3C4DA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B9B33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2D400EE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给模型的原始特征输入流</w:t>
            </w:r>
          </w:p>
        </w:tc>
      </w:tr>
      <w:tr w14:paraId="688E7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5B69AF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AE65A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predicted_soh</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D83DE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5DCF1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6A31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622494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AI预测得出的SOH</w:t>
            </w:r>
          </w:p>
        </w:tc>
      </w:tr>
      <w:tr w14:paraId="00D1B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0DAB3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EC058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predicted_rul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50DF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16B2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48BD6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4F366E7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AI预测得出的RUL</w:t>
            </w:r>
          </w:p>
        </w:tc>
      </w:tr>
      <w:tr w14:paraId="476E1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0A54FF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773DA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predicted_pcl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63145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797CF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1D398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41855B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AI预测得出的PCL</w:t>
            </w:r>
          </w:p>
        </w:tc>
      </w:tr>
      <w:tr w14:paraId="3FC23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0D5A51B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FD403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actual_soh</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EE9F9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B4891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866DF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6B3044C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 xml:space="preserve">物理真实的SOH基准值 </w:t>
            </w:r>
          </w:p>
        </w:tc>
      </w:tr>
      <w:tr w14:paraId="7013D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3605E8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F7B29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actual_rul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342AC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143C7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5A026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6D4E55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物理真实的RUL基准值</w:t>
            </w:r>
          </w:p>
        </w:tc>
      </w:tr>
      <w:tr w14:paraId="62393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97972C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11</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C4944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actual_pcl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4A37E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00AA7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BCDEC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624807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物理真实的PCL基准值</w:t>
            </w:r>
          </w:p>
        </w:tc>
      </w:tr>
      <w:tr w14:paraId="6D3C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F8C0F0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89405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prediction_time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8BECF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2065B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1F4C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23BBE88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模型完成预测返回时间戳</w:t>
            </w:r>
          </w:p>
        </w:tc>
      </w:tr>
      <w:tr w14:paraId="7CD8F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1842030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E512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execution_time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F9C83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379D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9D663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7738CD6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前向推理实际消耗时间</w:t>
            </w:r>
          </w:p>
        </w:tc>
      </w:tr>
      <w:tr w14:paraId="27D07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DEFBA9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F7274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confidence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B1D70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FLOAT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83788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E6A55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4A9EAD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模型给出的预测置信度/概率值</w:t>
            </w:r>
          </w:p>
        </w:tc>
      </w:tr>
      <w:tr w14:paraId="23BA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A73AF7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DD04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error_analysis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0B2F1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99E84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2BE0F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4700329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预测值与真实值之间的自动误差分析结论</w:t>
            </w:r>
          </w:p>
        </w:tc>
      </w:tr>
      <w:tr w14:paraId="6A5AC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EEF7A5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14031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prediction_type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DD716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C9D6E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'soh'</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CBF83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4842AEA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本次预测的主体任务目标类型</w:t>
            </w:r>
          </w:p>
        </w:tc>
      </w:tr>
      <w:tr w14:paraId="2B9CE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FE59B7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17</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9715C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notes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67B69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EFA84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2F31A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nil"/>
              <w:right w:val="nil"/>
            </w:tcBorders>
            <w:shd w:val="clear" w:color="auto" w:fill="auto"/>
            <w:noWrap w:val="0"/>
            <w:tcMar>
              <w:top w:w="-1" w:type="dxa"/>
              <w:left w:w="-1" w:type="dxa"/>
              <w:bottom w:w="-1" w:type="dxa"/>
              <w:right w:w="-1" w:type="dxa"/>
            </w:tcMar>
            <w:vAlign w:val="center"/>
          </w:tcPr>
          <w:p w14:paraId="7BEF7FF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备注说明</w:t>
            </w:r>
          </w:p>
        </w:tc>
      </w:tr>
      <w:tr w14:paraId="5827B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AD9D6D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18</w:t>
            </w:r>
          </w:p>
        </w:tc>
        <w:tc>
          <w:tcPr>
            <w:tcW w:w="168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BB1A72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24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136932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90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9F91BF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6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87A18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52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EB1533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记录归档入库时间</w:t>
            </w:r>
          </w:p>
        </w:tc>
      </w:tr>
    </w:tbl>
    <w:p w14:paraId="6DCF04B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cs="宋体"/>
          <w:b/>
          <w:bCs/>
          <w:sz w:val="21"/>
          <w:szCs w:val="21"/>
          <w:lang w:eastAsia="zh-CN"/>
        </w:rPr>
      </w:pPr>
      <w:r>
        <w:rPr>
          <w:rFonts w:hint="eastAsia" w:cs="宋体"/>
          <w:b/>
          <w:bCs/>
          <w:sz w:val="21"/>
          <w:szCs w:val="21"/>
          <w:lang w:eastAsia="zh-CN"/>
        </w:rPr>
        <w:t>（</w:t>
      </w:r>
      <w:r>
        <w:rPr>
          <w:rFonts w:hint="default" w:cs="宋体"/>
          <w:b/>
          <w:bCs/>
          <w:sz w:val="21"/>
          <w:szCs w:val="21"/>
          <w:lang w:eastAsia="zh-CN"/>
        </w:rPr>
        <w:t>9</w:t>
      </w:r>
      <w:r>
        <w:rPr>
          <w:rFonts w:hint="eastAsia" w:cs="宋体"/>
          <w:b/>
          <w:bCs/>
          <w:sz w:val="21"/>
          <w:szCs w:val="21"/>
          <w:lang w:eastAsia="zh-CN"/>
        </w:rPr>
        <w:t>）</w:t>
      </w:r>
      <w:r>
        <w:rPr>
          <w:rFonts w:hint="default" w:cs="宋体"/>
          <w:b/>
          <w:bCs/>
          <w:sz w:val="21"/>
          <w:szCs w:val="21"/>
          <w:lang w:eastAsia="zh-CN"/>
        </w:rPr>
        <w:t>模型性能评估对比表（model_comparisons）</w:t>
      </w:r>
    </w:p>
    <w:tbl>
      <w:tblPr>
        <w:tblStyle w:val="20"/>
        <w:tblpPr w:leftFromText="180" w:rightFromText="180" w:vertAnchor="text" w:tblpXSpec="center" w:tblpY="1"/>
        <w:tblOverlap w:val="never"/>
        <w:tblW w:w="10748" w:type="dxa"/>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2075"/>
        <w:gridCol w:w="1414"/>
        <w:gridCol w:w="1964"/>
        <w:gridCol w:w="1708"/>
        <w:gridCol w:w="2960"/>
      </w:tblGrid>
      <w:tr w14:paraId="4884A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trPr>
        <w:tc>
          <w:tcPr>
            <w:tcW w:w="58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F768F8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序号</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E245E4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7A044A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49DDEA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167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AE822F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291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86D08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2C95B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F2EC99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7DAA0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7D51EA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44A65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7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3DF097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291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B57599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评估报告流水ID</w:t>
            </w:r>
          </w:p>
        </w:tc>
      </w:tr>
      <w:tr w14:paraId="20E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71CEBE0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D06C8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comparison_name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9783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VARCHAR(100)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1C29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2BE1B1B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326EC3F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人工指定的模型横评任务名称</w:t>
            </w:r>
          </w:p>
        </w:tc>
      </w:tr>
      <w:tr w14:paraId="56E8C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2D974AC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F3CC5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compared_models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80554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2951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6E4B4DC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375A6BF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参与性能对比的模型ID集合</w:t>
            </w:r>
          </w:p>
        </w:tc>
      </w:tr>
      <w:tr w14:paraId="3AE93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0565CA1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E51BE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comparison_metrics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A9F83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F95B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4A30221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17F1A0A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 xml:space="preserve">横向对比参照的核心指标群 </w:t>
            </w:r>
          </w:p>
        </w:tc>
      </w:tr>
      <w:tr w14:paraId="39C6F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52BAD6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A1E5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comparison_results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3C9A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85FF7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0DA7A70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1BF43FF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对比生成的具体数据结果明细</w:t>
            </w:r>
          </w:p>
        </w:tc>
      </w:tr>
      <w:tr w14:paraId="33408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3776257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F79FE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statistical_tests</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4536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2DF12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51DFF52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6E6B603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模型结果是否具备统计学显著差异</w:t>
            </w:r>
          </w:p>
        </w:tc>
      </w:tr>
      <w:tr w14:paraId="647E6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42507E3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b/>
                <w:i w:val="0"/>
                <w:sz w:val="21"/>
                <w:szCs w:val="21"/>
                <w:lang w:val="en-US" w:eastAsia="zh-CN"/>
              </w:rPr>
              <w:t>序号</w:t>
            </w:r>
          </w:p>
        </w:tc>
        <w:tc>
          <w:tcPr>
            <w:tcW w:w="2045"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0EE4B7C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b/>
                <w:i w:val="0"/>
                <w:sz w:val="21"/>
                <w:szCs w:val="21"/>
                <w:lang w:val="en-US" w:eastAsia="zh-CN"/>
              </w:rPr>
              <w:t>字段名</w:t>
            </w:r>
          </w:p>
        </w:tc>
        <w:tc>
          <w:tcPr>
            <w:tcW w:w="1384"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493A80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b/>
                <w:i w:val="0"/>
                <w:sz w:val="21"/>
                <w:szCs w:val="21"/>
                <w:lang w:val="en-US" w:eastAsia="zh-CN"/>
              </w:rPr>
              <w:t>数据类型</w:t>
            </w:r>
          </w:p>
        </w:tc>
        <w:tc>
          <w:tcPr>
            <w:tcW w:w="1934"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1B793FE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b/>
                <w:i w:val="0"/>
                <w:sz w:val="21"/>
                <w:szCs w:val="21"/>
                <w:lang w:val="en-US" w:eastAsia="zh-CN"/>
              </w:rPr>
              <w:t>缺省值</w:t>
            </w:r>
          </w:p>
        </w:tc>
        <w:tc>
          <w:tcPr>
            <w:tcW w:w="1678"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58E8C39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b/>
                <w:i w:val="0"/>
                <w:sz w:val="21"/>
                <w:szCs w:val="21"/>
                <w:lang w:val="en-US" w:eastAsia="zh-CN"/>
              </w:rPr>
              <w:t>约束与索引说明</w:t>
            </w:r>
          </w:p>
        </w:tc>
        <w:tc>
          <w:tcPr>
            <w:tcW w:w="2915" w:type="dxa"/>
            <w:tcBorders>
              <w:top w:val="single" w:color="000000" w:themeColor="text1" w:sz="12" w:space="0"/>
              <w:left w:val="nil"/>
              <w:bottom w:val="nil"/>
              <w:right w:val="nil"/>
            </w:tcBorders>
            <w:shd w:val="clear" w:color="auto" w:fill="auto"/>
            <w:noWrap w:val="0"/>
            <w:tcMar>
              <w:top w:w="-1" w:type="dxa"/>
              <w:left w:w="-1" w:type="dxa"/>
              <w:bottom w:w="-1" w:type="dxa"/>
              <w:right w:w="-1" w:type="dxa"/>
            </w:tcMar>
            <w:vAlign w:val="center"/>
          </w:tcPr>
          <w:p w14:paraId="75821A6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b/>
                <w:i w:val="0"/>
                <w:sz w:val="21"/>
                <w:szCs w:val="21"/>
                <w:lang w:val="en-US" w:eastAsia="zh-CN"/>
              </w:rPr>
              <w:t>字段说明</w:t>
            </w:r>
          </w:p>
        </w:tc>
      </w:tr>
      <w:tr w14:paraId="5279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DD86E1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204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220843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visualization_data</w:t>
            </w:r>
          </w:p>
        </w:tc>
        <w:tc>
          <w:tcPr>
            <w:tcW w:w="138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F0A11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93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BD465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167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6B4052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91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BA3EB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供给前端ECharts渲染使用的柱状图/折线图数据</w:t>
            </w:r>
          </w:p>
        </w:tc>
      </w:tr>
      <w:tr w14:paraId="7EF1F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21AE603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2045" w:type="dxa"/>
            <w:tcBorders>
              <w:top w:val="nil"/>
              <w:left w:val="nil"/>
              <w:bottom w:val="nil"/>
              <w:right w:val="nil"/>
            </w:tcBorders>
            <w:shd w:val="clear" w:color="auto" w:fill="auto"/>
            <w:noWrap w:val="0"/>
            <w:tcMar>
              <w:top w:w="-1" w:type="dxa"/>
              <w:left w:w="-1" w:type="dxa"/>
              <w:bottom w:w="-1" w:type="dxa"/>
              <w:right w:w="-1" w:type="dxa"/>
            </w:tcMar>
            <w:vAlign w:val="center"/>
          </w:tcPr>
          <w:p w14:paraId="441BEF5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created_by</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50E3195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934" w:type="dxa"/>
            <w:tcBorders>
              <w:top w:val="nil"/>
              <w:left w:val="nil"/>
              <w:bottom w:val="nil"/>
              <w:right w:val="nil"/>
            </w:tcBorders>
            <w:shd w:val="clear" w:color="auto" w:fill="auto"/>
            <w:noWrap w:val="0"/>
            <w:tcMar>
              <w:top w:w="-1" w:type="dxa"/>
              <w:left w:w="-1" w:type="dxa"/>
              <w:bottom w:w="-1" w:type="dxa"/>
              <w:right w:w="-1" w:type="dxa"/>
            </w:tcMar>
            <w:vAlign w:val="center"/>
          </w:tcPr>
          <w:p w14:paraId="7BAF82B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3B75781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(关联users.id) 非空</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58286B1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发起横向测评的用户ID</w:t>
            </w:r>
          </w:p>
        </w:tc>
      </w:tr>
      <w:tr w14:paraId="7046B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nil"/>
              <w:left w:val="nil"/>
              <w:bottom w:val="nil"/>
              <w:right w:val="nil"/>
            </w:tcBorders>
            <w:shd w:val="clear" w:color="auto" w:fill="auto"/>
            <w:noWrap w:val="0"/>
            <w:tcMar>
              <w:top w:w="-1" w:type="dxa"/>
              <w:left w:w="-1" w:type="dxa"/>
              <w:bottom w:w="-1" w:type="dxa"/>
              <w:right w:w="-1" w:type="dxa"/>
            </w:tcMar>
            <w:vAlign w:val="center"/>
          </w:tcPr>
          <w:p w14:paraId="0724B16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2045" w:type="dxa"/>
            <w:tcBorders>
              <w:top w:val="nil"/>
              <w:left w:val="nil"/>
              <w:bottom w:val="nil"/>
              <w:right w:val="nil"/>
            </w:tcBorders>
            <w:shd w:val="clear" w:color="auto" w:fill="auto"/>
            <w:noWrap w:val="0"/>
            <w:tcMar>
              <w:top w:w="-1" w:type="dxa"/>
              <w:left w:w="-1" w:type="dxa"/>
              <w:bottom w:w="-1" w:type="dxa"/>
              <w:right w:w="-1" w:type="dxa"/>
            </w:tcMar>
            <w:vAlign w:val="center"/>
          </w:tcPr>
          <w:p w14:paraId="7A7F3E8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48EE7B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934" w:type="dxa"/>
            <w:tcBorders>
              <w:top w:val="nil"/>
              <w:left w:val="nil"/>
              <w:bottom w:val="nil"/>
              <w:right w:val="nil"/>
            </w:tcBorders>
            <w:shd w:val="clear" w:color="auto" w:fill="auto"/>
            <w:noWrap w:val="0"/>
            <w:tcMar>
              <w:top w:w="-1" w:type="dxa"/>
              <w:left w:w="-1" w:type="dxa"/>
              <w:bottom w:w="-1" w:type="dxa"/>
              <w:right w:w="-1" w:type="dxa"/>
            </w:tcMar>
            <w:vAlign w:val="center"/>
          </w:tcPr>
          <w:p w14:paraId="2F3BB69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1678" w:type="dxa"/>
            <w:tcBorders>
              <w:top w:val="nil"/>
              <w:left w:val="nil"/>
              <w:bottom w:val="nil"/>
              <w:right w:val="nil"/>
            </w:tcBorders>
            <w:shd w:val="clear" w:color="auto" w:fill="auto"/>
            <w:noWrap w:val="0"/>
            <w:tcMar>
              <w:top w:w="-1" w:type="dxa"/>
              <w:left w:w="-1" w:type="dxa"/>
              <w:bottom w:w="-1" w:type="dxa"/>
              <w:right w:w="-1" w:type="dxa"/>
            </w:tcMar>
            <w:vAlign w:val="center"/>
          </w:tcPr>
          <w:p w14:paraId="3567CA5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915" w:type="dxa"/>
            <w:tcBorders>
              <w:top w:val="nil"/>
              <w:left w:val="nil"/>
              <w:bottom w:val="nil"/>
              <w:right w:val="nil"/>
            </w:tcBorders>
            <w:shd w:val="clear" w:color="auto" w:fill="auto"/>
            <w:noWrap w:val="0"/>
            <w:tcMar>
              <w:top w:w="-1" w:type="dxa"/>
              <w:left w:w="-1" w:type="dxa"/>
              <w:bottom w:w="-1" w:type="dxa"/>
              <w:right w:w="-1" w:type="dxa"/>
            </w:tcMar>
            <w:vAlign w:val="center"/>
          </w:tcPr>
          <w:p w14:paraId="3AB9F0C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报告创建时间</w:t>
            </w:r>
          </w:p>
        </w:tc>
      </w:tr>
      <w:tr w14:paraId="1A51A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trPr>
        <w:tc>
          <w:tcPr>
            <w:tcW w:w="58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7E8047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10</w:t>
            </w:r>
          </w:p>
        </w:tc>
        <w:tc>
          <w:tcPr>
            <w:tcW w:w="204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0016C9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updated_at</w:t>
            </w:r>
          </w:p>
        </w:tc>
        <w:tc>
          <w:tcPr>
            <w:tcW w:w="138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940608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93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D028DB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167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0E5266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291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1DAFC8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报告重新生成或修改时间</w:t>
            </w:r>
          </w:p>
        </w:tc>
      </w:tr>
    </w:tbl>
    <w:p w14:paraId="2E186A3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cs="宋体"/>
          <w:b/>
          <w:bCs/>
          <w:sz w:val="21"/>
          <w:szCs w:val="21"/>
          <w:lang w:eastAsia="zh-CN"/>
        </w:rPr>
      </w:pPr>
      <w:r>
        <w:rPr>
          <w:rFonts w:hint="eastAsia" w:cs="宋体"/>
          <w:b/>
          <w:bCs/>
          <w:sz w:val="21"/>
          <w:szCs w:val="21"/>
          <w:lang w:eastAsia="zh-CN"/>
        </w:rPr>
        <w:t>（</w:t>
      </w:r>
      <w:r>
        <w:rPr>
          <w:rFonts w:hint="default" w:cs="宋体"/>
          <w:b/>
          <w:bCs/>
          <w:sz w:val="21"/>
          <w:szCs w:val="21"/>
          <w:lang w:eastAsia="zh-CN"/>
        </w:rPr>
        <w:t>10</w:t>
      </w:r>
      <w:r>
        <w:rPr>
          <w:rFonts w:hint="eastAsia" w:cs="宋体"/>
          <w:b/>
          <w:bCs/>
          <w:sz w:val="21"/>
          <w:szCs w:val="21"/>
          <w:lang w:eastAsia="zh-CN"/>
        </w:rPr>
        <w:t>）</w:t>
      </w:r>
      <w:r>
        <w:rPr>
          <w:rFonts w:hint="default" w:cs="宋体"/>
          <w:b/>
          <w:bCs/>
          <w:sz w:val="21"/>
          <w:szCs w:val="21"/>
          <w:lang w:eastAsia="zh-CN"/>
        </w:rPr>
        <w:t>资源分享授权表（shares）</w:t>
      </w:r>
    </w:p>
    <w:tbl>
      <w:tblPr>
        <w:tblStyle w:val="20"/>
        <w:tblW w:w="10748"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36"/>
        <w:gridCol w:w="2159"/>
        <w:gridCol w:w="1274"/>
        <w:gridCol w:w="1136"/>
        <w:gridCol w:w="2460"/>
        <w:gridCol w:w="3083"/>
      </w:tblGrid>
      <w:tr w14:paraId="3C9EE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5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7A9402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序号</w:t>
            </w:r>
          </w:p>
        </w:tc>
        <w:tc>
          <w:tcPr>
            <w:tcW w:w="212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84A70F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字段名</w:t>
            </w:r>
          </w:p>
        </w:tc>
        <w:tc>
          <w:tcPr>
            <w:tcW w:w="124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3F7E8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数据类型</w:t>
            </w:r>
          </w:p>
        </w:tc>
        <w:tc>
          <w:tcPr>
            <w:tcW w:w="110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5295E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缺省值</w:t>
            </w:r>
          </w:p>
        </w:tc>
        <w:tc>
          <w:tcPr>
            <w:tcW w:w="243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1CC764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约束与索引说明</w:t>
            </w:r>
          </w:p>
        </w:tc>
        <w:tc>
          <w:tcPr>
            <w:tcW w:w="303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2E0AB8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b/>
                <w:i w:val="0"/>
                <w:sz w:val="21"/>
                <w:szCs w:val="21"/>
                <w:lang w:val="en-US" w:eastAsia="zh-CN"/>
              </w:rPr>
            </w:pPr>
            <w:r>
              <w:rPr>
                <w:rFonts w:hint="default" w:hAnsi="Cambria Math" w:cs="宋体"/>
                <w:b/>
                <w:i w:val="0"/>
                <w:sz w:val="21"/>
                <w:szCs w:val="21"/>
                <w:lang w:val="en-US" w:eastAsia="zh-CN"/>
              </w:rPr>
              <w:t>字段说明</w:t>
            </w:r>
          </w:p>
        </w:tc>
      </w:tr>
      <w:tr w14:paraId="1C568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E7CC4B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1</w:t>
            </w:r>
          </w:p>
        </w:tc>
        <w:tc>
          <w:tcPr>
            <w:tcW w:w="212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E07DB0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id</w:t>
            </w:r>
          </w:p>
        </w:tc>
        <w:tc>
          <w:tcPr>
            <w:tcW w:w="124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2E194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10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A4841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3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635E4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主键, 自增</w:t>
            </w:r>
          </w:p>
        </w:tc>
        <w:tc>
          <w:tcPr>
            <w:tcW w:w="303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71ABA7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分享授权规则流水ID</w:t>
            </w:r>
          </w:p>
        </w:tc>
      </w:tr>
      <w:tr w14:paraId="01841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96DA5E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2</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65DB9D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resource_type</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3C1EDDB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VARCHAR(50)</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1B79724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37F222D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05B30AF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授权管控的底层资产类型</w:t>
            </w:r>
          </w:p>
        </w:tc>
      </w:tr>
      <w:tr w14:paraId="3A78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204AC2B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3</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5D5F8E2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resource_id</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445CD73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74F3E83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222028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4E5A209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具体被授权分享的资源实物ID</w:t>
            </w:r>
          </w:p>
        </w:tc>
      </w:tr>
      <w:tr w14:paraId="28170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50BF7E6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4</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7A1C79E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owner_id</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3841F25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630B788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02DA65E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(关联users.id)非空</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56D7731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该项数据资源的拥有者ID</w:t>
            </w:r>
          </w:p>
        </w:tc>
      </w:tr>
      <w:tr w14:paraId="4F721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FFDC83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5</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1D8930B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shared_with_user_id</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039C54D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INT</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1349346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4913D59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外键 (关联users.id)</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6167CA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接收授权的目标用户ID</w:t>
            </w:r>
          </w:p>
        </w:tc>
      </w:tr>
      <w:tr w14:paraId="6043E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37FE5F5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6</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572EA67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permission</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048CB91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VARCHAR(20)</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2A40C9D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'read'</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00F4B7B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非空</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644C96D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授予的读写控制权限等级 (read / write)</w:t>
            </w:r>
          </w:p>
        </w:tc>
      </w:tr>
      <w:tr w14:paraId="540F3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6D1BC6A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7</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1958374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notes</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7D6A609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TEXT</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6AF2F81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NULL</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3484356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4578891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授权说明或操作备注</w:t>
            </w:r>
          </w:p>
        </w:tc>
      </w:tr>
      <w:tr w14:paraId="13A99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nil"/>
              <w:right w:val="nil"/>
            </w:tcBorders>
            <w:shd w:val="clear" w:color="auto" w:fill="auto"/>
            <w:noWrap w:val="0"/>
            <w:tcMar>
              <w:top w:w="-1" w:type="dxa"/>
              <w:left w:w="-1" w:type="dxa"/>
              <w:bottom w:w="-1" w:type="dxa"/>
              <w:right w:w="-1" w:type="dxa"/>
            </w:tcMar>
            <w:vAlign w:val="center"/>
          </w:tcPr>
          <w:p w14:paraId="4315B22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8</w:t>
            </w:r>
          </w:p>
        </w:tc>
        <w:tc>
          <w:tcPr>
            <w:tcW w:w="2129" w:type="dxa"/>
            <w:tcBorders>
              <w:top w:val="nil"/>
              <w:left w:val="nil"/>
              <w:bottom w:val="nil"/>
              <w:right w:val="nil"/>
            </w:tcBorders>
            <w:shd w:val="clear" w:color="auto" w:fill="auto"/>
            <w:noWrap w:val="0"/>
            <w:tcMar>
              <w:top w:w="-1" w:type="dxa"/>
              <w:left w:w="-1" w:type="dxa"/>
              <w:bottom w:w="-1" w:type="dxa"/>
              <w:right w:w="-1" w:type="dxa"/>
            </w:tcMar>
            <w:vAlign w:val="center"/>
          </w:tcPr>
          <w:p w14:paraId="4E50EEB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created_at</w:t>
            </w:r>
          </w:p>
        </w:tc>
        <w:tc>
          <w:tcPr>
            <w:tcW w:w="1244" w:type="dxa"/>
            <w:tcBorders>
              <w:top w:val="nil"/>
              <w:left w:val="nil"/>
              <w:bottom w:val="nil"/>
              <w:right w:val="nil"/>
            </w:tcBorders>
            <w:shd w:val="clear" w:color="auto" w:fill="auto"/>
            <w:noWrap w:val="0"/>
            <w:tcMar>
              <w:top w:w="-1" w:type="dxa"/>
              <w:left w:w="-1" w:type="dxa"/>
              <w:bottom w:w="-1" w:type="dxa"/>
              <w:right w:w="-1" w:type="dxa"/>
            </w:tcMar>
            <w:vAlign w:val="center"/>
          </w:tcPr>
          <w:p w14:paraId="166F855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106" w:type="dxa"/>
            <w:tcBorders>
              <w:top w:val="nil"/>
              <w:left w:val="nil"/>
              <w:bottom w:val="nil"/>
              <w:right w:val="nil"/>
            </w:tcBorders>
            <w:shd w:val="clear" w:color="auto" w:fill="auto"/>
            <w:noWrap w:val="0"/>
            <w:tcMar>
              <w:top w:w="-1" w:type="dxa"/>
              <w:left w:w="-1" w:type="dxa"/>
              <w:bottom w:w="-1" w:type="dxa"/>
              <w:right w:w="-1" w:type="dxa"/>
            </w:tcMar>
            <w:vAlign w:val="center"/>
          </w:tcPr>
          <w:p w14:paraId="02DC63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430" w:type="dxa"/>
            <w:tcBorders>
              <w:top w:val="nil"/>
              <w:left w:val="nil"/>
              <w:bottom w:val="nil"/>
              <w:right w:val="nil"/>
            </w:tcBorders>
            <w:shd w:val="clear" w:color="auto" w:fill="auto"/>
            <w:noWrap w:val="0"/>
            <w:tcMar>
              <w:top w:w="-1" w:type="dxa"/>
              <w:left w:w="-1" w:type="dxa"/>
              <w:bottom w:w="-1" w:type="dxa"/>
              <w:right w:w="-1" w:type="dxa"/>
            </w:tcMar>
            <w:vAlign w:val="center"/>
          </w:tcPr>
          <w:p w14:paraId="1BD422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无</w:t>
            </w:r>
          </w:p>
        </w:tc>
        <w:tc>
          <w:tcPr>
            <w:tcW w:w="3038" w:type="dxa"/>
            <w:tcBorders>
              <w:top w:val="nil"/>
              <w:left w:val="nil"/>
              <w:bottom w:val="nil"/>
              <w:right w:val="nil"/>
            </w:tcBorders>
            <w:shd w:val="clear" w:color="auto" w:fill="auto"/>
            <w:noWrap w:val="0"/>
            <w:tcMar>
              <w:top w:w="-1" w:type="dxa"/>
              <w:left w:w="-1" w:type="dxa"/>
              <w:bottom w:w="-1" w:type="dxa"/>
              <w:right w:w="-1" w:type="dxa"/>
            </w:tcMar>
            <w:vAlign w:val="center"/>
          </w:tcPr>
          <w:p w14:paraId="639D83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权限授予开通时间</w:t>
            </w:r>
          </w:p>
        </w:tc>
      </w:tr>
      <w:tr w14:paraId="5EA9E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5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86505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9</w:t>
            </w:r>
          </w:p>
        </w:tc>
        <w:tc>
          <w:tcPr>
            <w:tcW w:w="212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3704CF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updated_at</w:t>
            </w:r>
          </w:p>
        </w:tc>
        <w:tc>
          <w:tcPr>
            <w:tcW w:w="124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A6653E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TIMESTAMP</w:t>
            </w:r>
          </w:p>
        </w:tc>
        <w:tc>
          <w:tcPr>
            <w:tcW w:w="110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D06F9C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CURRENT_TIMESTAMP</w:t>
            </w:r>
          </w:p>
        </w:tc>
        <w:tc>
          <w:tcPr>
            <w:tcW w:w="243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2B2EF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自动更新</w:t>
            </w:r>
          </w:p>
        </w:tc>
        <w:tc>
          <w:tcPr>
            <w:tcW w:w="303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A1811D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hAnsi="Cambria Math" w:cs="宋体"/>
                <w:i w:val="0"/>
                <w:sz w:val="21"/>
                <w:szCs w:val="21"/>
                <w:lang w:val="en-US" w:eastAsia="zh-CN"/>
              </w:rPr>
            </w:pPr>
            <w:r>
              <w:rPr>
                <w:rFonts w:hint="default" w:hAnsi="Cambria Math" w:cs="宋体"/>
                <w:i w:val="0"/>
                <w:sz w:val="21"/>
                <w:szCs w:val="21"/>
                <w:lang w:val="en-US" w:eastAsia="zh-CN"/>
              </w:rPr>
              <w:t>权限调整修改时间</w:t>
            </w:r>
          </w:p>
        </w:tc>
      </w:tr>
    </w:tbl>
    <w:p w14:paraId="20A6921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eastAsia" w:hAnsi="Cambria Math" w:cs="宋体"/>
          <w:i w:val="0"/>
          <w:sz w:val="21"/>
          <w:szCs w:val="21"/>
          <w:lang w:val="en-US" w:eastAsia="zh-CN"/>
        </w:rPr>
      </w:pPr>
    </w:p>
    <w:p w14:paraId="67CE857B">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bCs/>
          <w:sz w:val="22"/>
          <w:szCs w:val="22"/>
        </w:rPr>
      </w:pPr>
      <w:r>
        <w:rPr>
          <w:rFonts w:hint="eastAsia" w:cs="宋体"/>
          <w:b/>
          <w:bCs/>
          <w:sz w:val="22"/>
          <w:szCs w:val="22"/>
          <w:lang w:val="en-US" w:eastAsia="zh-CN"/>
        </w:rPr>
        <w:t>2</w:t>
      </w:r>
      <w:r>
        <w:rPr>
          <w:rFonts w:hint="eastAsia" w:ascii="宋体" w:hAnsi="宋体" w:eastAsia="宋体" w:cs="宋体"/>
          <w:b/>
          <w:bCs/>
          <w:sz w:val="22"/>
          <w:szCs w:val="22"/>
        </w:rPr>
        <w:t>. 文件存储</w:t>
      </w:r>
    </w:p>
    <w:p w14:paraId="1D68C3B7">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rPr>
        <w:t>本系统在运行过程中会产生和依赖大量非结构化数据</w:t>
      </w:r>
      <w:r>
        <w:rPr>
          <w:rFonts w:hint="eastAsia" w:cs="宋体"/>
          <w:sz w:val="21"/>
          <w:szCs w:val="21"/>
          <w:lang w:eastAsia="zh-CN"/>
        </w:rPr>
        <w:t>。</w:t>
      </w:r>
      <w:r>
        <w:rPr>
          <w:rFonts w:hint="eastAsia" w:ascii="宋体" w:hAnsi="宋体" w:eastAsia="宋体" w:cs="宋体"/>
          <w:sz w:val="21"/>
          <w:szCs w:val="21"/>
        </w:rPr>
        <w:t>考虑到深度学习模型权重文件（.pth）体积较大，如果直接存入关系型数据库可能会影响系统性能，因此系统采用了“数据库存储结构化数据，本地文件系统存储大文件”的分类存储方案</w:t>
      </w:r>
      <w:r>
        <w:rPr>
          <w:rFonts w:hint="eastAsia" w:cs="宋体"/>
          <w:sz w:val="21"/>
          <w:szCs w:val="21"/>
          <w:lang w:eastAsia="zh-CN"/>
        </w:rPr>
        <w:t>。</w:t>
      </w:r>
    </w:p>
    <w:p w14:paraId="4A8070A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系统利用后端服务器的本地磁盘作为文件存取介质，主要存放核心的 AI 预测模型文件（.pth）以及用户上传的用于模型训练的电池数据集（.csv）</w:t>
      </w:r>
      <w:r>
        <w:rPr>
          <w:rFonts w:hint="eastAsia" w:cs="宋体"/>
          <w:sz w:val="21"/>
          <w:szCs w:val="21"/>
          <w:lang w:eastAsia="zh-CN"/>
        </w:rPr>
        <w:t>。</w:t>
      </w:r>
    </w:p>
    <w:p w14:paraId="73FEBE70">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ascii="宋体" w:hAnsi="宋体" w:eastAsia="宋体" w:cs="宋体"/>
          <w:sz w:val="24"/>
          <w:szCs w:val="24"/>
        </w:rPr>
        <w:t>（</w:t>
      </w:r>
      <w:r>
        <w:rPr>
          <w:rFonts w:hint="eastAsia" w:ascii="宋体" w:hAnsi="宋体" w:eastAsia="宋体" w:cs="宋体"/>
          <w:sz w:val="21"/>
          <w:szCs w:val="21"/>
        </w:rPr>
        <w:t>1）模型权重文件存储</w:t>
      </w:r>
    </w:p>
    <w:p w14:paraId="04174BDD">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读取方式：后端在启动时加载默认模型至内存，预测请求到达时直接调用，无需重复加载。</w:t>
      </w:r>
    </w:p>
    <w:p w14:paraId="3FE2EE4C">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文件路径： 模型文件统一存放在 /results/models/ 目录下</w:t>
      </w:r>
      <w:r>
        <w:rPr>
          <w:rFonts w:hint="eastAsia" w:cs="宋体"/>
          <w:sz w:val="21"/>
          <w:szCs w:val="21"/>
          <w:lang w:eastAsia="zh-CN"/>
        </w:rPr>
        <w:t>。</w:t>
      </w:r>
      <w:r>
        <w:rPr>
          <w:rFonts w:hint="eastAsia" w:ascii="宋体" w:hAnsi="宋体" w:eastAsia="宋体" w:cs="宋体"/>
          <w:sz w:val="21"/>
          <w:szCs w:val="21"/>
        </w:rPr>
        <w:t>FastAPI 后端在启动或执行预测任务时，通过绝对路径直接加载模型文件进行推理</w:t>
      </w:r>
      <w:r>
        <w:rPr>
          <w:rFonts w:hint="eastAsia" w:cs="宋体"/>
          <w:sz w:val="21"/>
          <w:szCs w:val="21"/>
          <w:lang w:eastAsia="zh-CN"/>
        </w:rPr>
        <w:t>。</w:t>
      </w:r>
      <w:r>
        <w:rPr>
          <w:rFonts w:hint="eastAsia" w:ascii="宋体" w:hAnsi="宋体" w:eastAsia="宋体" w:cs="宋体"/>
          <w:sz w:val="21"/>
          <w:szCs w:val="21"/>
        </w:rPr>
        <w:t>数据集文件暂存于 /results/datasets/ 目录下</w:t>
      </w:r>
    </w:p>
    <w:p w14:paraId="2B9A403F">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sz w:val="21"/>
          <w:szCs w:val="21"/>
        </w:rPr>
        <w:t>文件命名规范： 为了防止高并发场景下的文件覆盖问题，系统采用了带有时间戳的随机化命名规则</w:t>
      </w:r>
      <w:r>
        <w:rPr>
          <w:rFonts w:hint="eastAsia" w:cs="宋体"/>
          <w:sz w:val="21"/>
          <w:szCs w:val="21"/>
          <w:lang w:eastAsia="zh-CN"/>
        </w:rPr>
        <w:t>。</w:t>
      </w:r>
      <w:r>
        <w:rPr>
          <w:rFonts w:hint="eastAsia" w:ascii="宋体" w:hAnsi="宋体" w:eastAsia="宋体" w:cs="宋体"/>
          <w:sz w:val="21"/>
          <w:szCs w:val="21"/>
        </w:rPr>
        <w:t>模型文件采用 SoH_{算法类型}_{Unix毫秒级时间戳}.pth 格式，方便区分模型类型和生成版本</w:t>
      </w:r>
      <w:r>
        <w:rPr>
          <w:rFonts w:hint="eastAsia" w:cs="宋体"/>
          <w:sz w:val="21"/>
          <w:szCs w:val="21"/>
          <w:lang w:eastAsia="zh-CN"/>
        </w:rPr>
        <w:t>。</w:t>
      </w:r>
    </w:p>
    <w:p w14:paraId="1EC28E84">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cs="宋体"/>
          <w:sz w:val="21"/>
          <w:szCs w:val="21"/>
        </w:rPr>
      </w:pPr>
      <w:r>
        <w:rPr>
          <w:rFonts w:hint="eastAsia" w:ascii="宋体" w:hAnsi="宋体" w:eastAsia="宋体" w:cs="宋体"/>
          <w:sz w:val="21"/>
          <w:szCs w:val="21"/>
        </w:rPr>
        <w:t>（2）用户上传数据文件存储</w:t>
      </w:r>
    </w:p>
    <w:p w14:paraId="3634F7F6">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存放目录：服务器 /data/uploads/{user_id}/{date}/ 目录下，按用户和日期隔离。</w:t>
      </w:r>
    </w:p>
    <w:p w14:paraId="5464489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命名规则：{原文件名}_{时间戳}_{随机码}.{扩展名}</w:t>
      </w:r>
    </w:p>
    <w:p w14:paraId="6FCEC5F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pPr>
      <w:r>
        <w:rPr>
          <w:rFonts w:hint="eastAsia" w:ascii="宋体" w:hAnsi="宋体" w:eastAsia="宋体" w:cs="宋体"/>
          <w:sz w:val="21"/>
          <w:szCs w:val="21"/>
        </w:rPr>
        <w:t>处理流程：用户上传→临时目录暂存→格式校验→特征提取→入库→移动至归档目录或删除临时文件。</w:t>
      </w:r>
    </w:p>
    <w:p w14:paraId="17FBDC02">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pPr>
      <w:bookmarkStart w:id="19" w:name="_Toc18400"/>
      <w:r>
        <w:t>3.2.2 接口（模块接口、系统间接口）</w:t>
      </w:r>
      <w:bookmarkEnd w:id="19"/>
    </w:p>
    <w:p w14:paraId="3227AD6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本系统采用解耦的前后端分离架构，模块与外部组件间的数据交换主要通过以下四种核心接口实现：</w:t>
      </w:r>
    </w:p>
    <w:p w14:paraId="6683AB6B">
      <w:pPr>
        <w:keepNext w:val="0"/>
        <w:keepLines w:val="0"/>
        <w:pageBreakBefore w:val="0"/>
        <w:widowControl w:val="0"/>
        <w:kinsoku/>
        <w:wordWrap/>
        <w:overflowPunct/>
        <w:topLinePunct w:val="0"/>
        <w:autoSpaceDE/>
        <w:autoSpaceDN/>
        <w:bidi w:val="0"/>
        <w:adjustRightInd/>
        <w:spacing w:line="240" w:lineRule="auto"/>
        <w:textAlignment w:val="auto"/>
        <w:rPr>
          <w:rFonts w:hint="eastAsia" w:cs="宋体"/>
          <w:b/>
          <w:bCs/>
          <w:sz w:val="22"/>
          <w:szCs w:val="22"/>
          <w:lang w:val="en-US" w:eastAsia="zh-CN"/>
        </w:rPr>
      </w:pPr>
      <w:r>
        <w:rPr>
          <w:rFonts w:hint="eastAsia" w:cs="宋体"/>
          <w:b/>
          <w:bCs/>
          <w:sz w:val="22"/>
          <w:szCs w:val="22"/>
          <w:lang w:val="en-US" w:eastAsia="zh-CN"/>
        </w:rPr>
        <w:t>1. 前后端通信接口（HTTP/RESTful API）</w:t>
      </w:r>
    </w:p>
    <w:p w14:paraId="7502C0EC">
      <w:pPr>
        <w:keepNext w:val="0"/>
        <w:keepLines w:val="0"/>
        <w:pageBreakBefore w:val="0"/>
        <w:widowControl w:val="0"/>
        <w:numPr>
          <w:ilvl w:val="0"/>
          <w:numId w:val="2"/>
        </w:numPr>
        <w:kinsoku/>
        <w:wordWrap/>
        <w:overflowPunct/>
        <w:topLinePunct w:val="0"/>
        <w:autoSpaceDE/>
        <w:autoSpaceDN/>
        <w:bidi w:val="0"/>
        <w:adjustRightInd/>
        <w:snapToGrid/>
        <w:spacing w:line="276"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通信协议与鉴权：PC端与小程序端同后端业务网关基于HTTP/HTTPS协议通信，采用无状态的JWT（JSON Web Token）进行安全鉴权。用户登录成功后，后端签发包含用户ID与角色的Token，前端在后续请求的Authorization头中携带该Token，后端通过中间件校验有效性与权限。</w:t>
      </w:r>
    </w:p>
    <w:p w14:paraId="7CE82195">
      <w:pPr>
        <w:keepNext w:val="0"/>
        <w:keepLines w:val="0"/>
        <w:pageBreakBefore w:val="0"/>
        <w:widowControl w:val="0"/>
        <w:numPr>
          <w:ilvl w:val="0"/>
          <w:numId w:val="2"/>
        </w:numPr>
        <w:kinsoku/>
        <w:wordWrap/>
        <w:overflowPunct/>
        <w:topLinePunct w:val="0"/>
        <w:autoSpaceDE/>
        <w:autoSpaceDN/>
        <w:bidi w:val="0"/>
        <w:adjustRightInd/>
        <w:snapToGrid/>
        <w:spacing w:line="276"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数据格式规范：请求与响应类型统一为application/json。所有接口返回均采用标准化的结构封装：{code: 200, message: 'success', data: {...}}，其中code为业务状态码（200成功、400参数错误、401未授权、500服务异常），便于前端全局异常拦截与用户提示。</w:t>
      </w:r>
    </w:p>
    <w:p w14:paraId="332B05DA">
      <w:pPr>
        <w:pStyle w:val="8"/>
        <w:jc w:val="center"/>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主要接口清单</w:t>
      </w:r>
    </w:p>
    <w:tbl>
      <w:tblPr>
        <w:tblStyle w:val="20"/>
        <w:tblW w:w="95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3285"/>
        <w:gridCol w:w="1080"/>
        <w:gridCol w:w="5140"/>
      </w:tblGrid>
      <w:tr w14:paraId="0BD0B2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3285"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7C854A1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接口路径</w:t>
            </w:r>
          </w:p>
        </w:tc>
        <w:tc>
          <w:tcPr>
            <w:tcW w:w="1080"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1700BC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方法</w:t>
            </w:r>
          </w:p>
        </w:tc>
        <w:tc>
          <w:tcPr>
            <w:tcW w:w="5140"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7AB883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功能说明</w:t>
            </w:r>
          </w:p>
        </w:tc>
      </w:tr>
      <w:tr w14:paraId="6038AC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single" w:color="000000" w:sz="4" w:space="0"/>
              <w:left w:val="nil"/>
              <w:bottom w:val="nil"/>
              <w:right w:val="nil"/>
            </w:tcBorders>
            <w:noWrap w:val="0"/>
            <w:tcMar>
              <w:top w:w="80" w:type="dxa"/>
              <w:left w:w="120" w:type="dxa"/>
              <w:bottom w:w="80" w:type="dxa"/>
              <w:right w:w="120" w:type="dxa"/>
            </w:tcMar>
            <w:vAlign w:val="center"/>
          </w:tcPr>
          <w:p w14:paraId="7E0787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/api/auth/login</w:t>
            </w:r>
          </w:p>
        </w:tc>
        <w:tc>
          <w:tcPr>
            <w:tcW w:w="1080" w:type="dxa"/>
            <w:tcBorders>
              <w:top w:val="single" w:color="000000" w:sz="4" w:space="0"/>
              <w:left w:val="nil"/>
              <w:bottom w:val="nil"/>
              <w:right w:val="nil"/>
            </w:tcBorders>
            <w:noWrap w:val="0"/>
            <w:tcMar>
              <w:top w:w="80" w:type="dxa"/>
              <w:left w:w="120" w:type="dxa"/>
              <w:bottom w:w="80" w:type="dxa"/>
              <w:right w:w="120" w:type="dxa"/>
            </w:tcMar>
            <w:vAlign w:val="center"/>
          </w:tcPr>
          <w:p w14:paraId="1EF996C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single" w:color="000000" w:sz="4" w:space="0"/>
              <w:left w:val="nil"/>
              <w:bottom w:val="nil"/>
              <w:right w:val="nil"/>
            </w:tcBorders>
            <w:noWrap w:val="0"/>
            <w:tcMar>
              <w:top w:w="80" w:type="dxa"/>
              <w:left w:w="120" w:type="dxa"/>
              <w:bottom w:w="80" w:type="dxa"/>
              <w:right w:w="120" w:type="dxa"/>
            </w:tcMar>
            <w:vAlign w:val="center"/>
          </w:tcPr>
          <w:p w14:paraId="45B3ED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用户登录，校验账密后返回JWT Token与用户信息</w:t>
            </w:r>
          </w:p>
        </w:tc>
      </w:tr>
      <w:tr w14:paraId="03EEE0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5F09213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/api/auth/register</w:t>
            </w:r>
          </w:p>
        </w:tc>
        <w:tc>
          <w:tcPr>
            <w:tcW w:w="1080" w:type="dxa"/>
            <w:tcBorders>
              <w:top w:val="nil"/>
              <w:left w:val="nil"/>
              <w:bottom w:val="nil"/>
              <w:right w:val="nil"/>
            </w:tcBorders>
            <w:noWrap w:val="0"/>
            <w:tcMar>
              <w:top w:w="80" w:type="dxa"/>
              <w:left w:w="120" w:type="dxa"/>
              <w:bottom w:w="80" w:type="dxa"/>
              <w:right w:w="120" w:type="dxa"/>
            </w:tcMar>
            <w:vAlign w:val="center"/>
          </w:tcPr>
          <w:p w14:paraId="6DEC3D7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64F362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用户注册，创建账号并返回注册结果</w:t>
            </w:r>
          </w:p>
        </w:tc>
      </w:tr>
      <w:tr w14:paraId="320DF4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1F9F8E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/api/batteries</w:t>
            </w:r>
          </w:p>
        </w:tc>
        <w:tc>
          <w:tcPr>
            <w:tcW w:w="1080" w:type="dxa"/>
            <w:tcBorders>
              <w:top w:val="nil"/>
              <w:left w:val="nil"/>
              <w:bottom w:val="nil"/>
              <w:right w:val="nil"/>
            </w:tcBorders>
            <w:noWrap w:val="0"/>
            <w:tcMar>
              <w:top w:w="80" w:type="dxa"/>
              <w:left w:w="120" w:type="dxa"/>
              <w:bottom w:w="80" w:type="dxa"/>
              <w:right w:w="120" w:type="dxa"/>
            </w:tcMar>
            <w:vAlign w:val="center"/>
          </w:tcPr>
          <w:p w14:paraId="26C5B2F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w:t>
            </w:r>
          </w:p>
        </w:tc>
        <w:tc>
          <w:tcPr>
            <w:tcW w:w="5140" w:type="dxa"/>
            <w:tcBorders>
              <w:top w:val="nil"/>
              <w:left w:val="nil"/>
              <w:bottom w:val="nil"/>
              <w:right w:val="nil"/>
            </w:tcBorders>
            <w:noWrap w:val="0"/>
            <w:tcMar>
              <w:top w:w="80" w:type="dxa"/>
              <w:left w:w="120" w:type="dxa"/>
              <w:bottom w:w="80" w:type="dxa"/>
              <w:right w:w="120" w:type="dxa"/>
            </w:tcMar>
            <w:vAlign w:val="center"/>
          </w:tcPr>
          <w:p w14:paraId="66BE54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获取电池列表，支持分页、状态筛选、关键字搜索</w:t>
            </w:r>
          </w:p>
        </w:tc>
      </w:tr>
      <w:tr w14:paraId="458239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1C49BD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/api/batteries/{id}</w:t>
            </w:r>
          </w:p>
        </w:tc>
        <w:tc>
          <w:tcPr>
            <w:tcW w:w="1080" w:type="dxa"/>
            <w:tcBorders>
              <w:top w:val="nil"/>
              <w:left w:val="nil"/>
              <w:bottom w:val="nil"/>
              <w:right w:val="nil"/>
            </w:tcBorders>
            <w:noWrap w:val="0"/>
            <w:tcMar>
              <w:top w:w="80" w:type="dxa"/>
              <w:left w:w="120" w:type="dxa"/>
              <w:bottom w:w="80" w:type="dxa"/>
              <w:right w:w="120" w:type="dxa"/>
            </w:tcMar>
            <w:vAlign w:val="center"/>
          </w:tcPr>
          <w:p w14:paraId="1883DC9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w:t>
            </w:r>
          </w:p>
        </w:tc>
        <w:tc>
          <w:tcPr>
            <w:tcW w:w="5140" w:type="dxa"/>
            <w:tcBorders>
              <w:top w:val="nil"/>
              <w:left w:val="nil"/>
              <w:bottom w:val="nil"/>
              <w:right w:val="nil"/>
            </w:tcBorders>
            <w:noWrap w:val="0"/>
            <w:tcMar>
              <w:top w:w="80" w:type="dxa"/>
              <w:left w:w="120" w:type="dxa"/>
              <w:bottom w:w="80" w:type="dxa"/>
              <w:right w:w="120" w:type="dxa"/>
            </w:tcMar>
            <w:vAlign w:val="center"/>
          </w:tcPr>
          <w:p w14:paraId="6255DA5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获取单个电池详情，包含基本信息与最新预测结果</w:t>
            </w:r>
          </w:p>
        </w:tc>
      </w:tr>
      <w:tr w14:paraId="0AC796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1F3312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/api/batteries/{id}/lifecycle</w:t>
            </w:r>
          </w:p>
        </w:tc>
        <w:tc>
          <w:tcPr>
            <w:tcW w:w="1080" w:type="dxa"/>
            <w:tcBorders>
              <w:top w:val="nil"/>
              <w:left w:val="nil"/>
              <w:bottom w:val="nil"/>
              <w:right w:val="nil"/>
            </w:tcBorders>
            <w:noWrap w:val="0"/>
            <w:tcMar>
              <w:top w:w="80" w:type="dxa"/>
              <w:left w:w="120" w:type="dxa"/>
              <w:bottom w:w="80" w:type="dxa"/>
              <w:right w:w="120" w:type="dxa"/>
            </w:tcMar>
            <w:vAlign w:val="center"/>
          </w:tcPr>
          <w:p w14:paraId="2072612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w:t>
            </w:r>
          </w:p>
        </w:tc>
        <w:tc>
          <w:tcPr>
            <w:tcW w:w="5140" w:type="dxa"/>
            <w:tcBorders>
              <w:top w:val="nil"/>
              <w:left w:val="nil"/>
              <w:bottom w:val="nil"/>
              <w:right w:val="nil"/>
            </w:tcBorders>
            <w:noWrap w:val="0"/>
            <w:tcMar>
              <w:top w:w="80" w:type="dxa"/>
              <w:left w:w="120" w:type="dxa"/>
              <w:bottom w:w="80" w:type="dxa"/>
              <w:right w:w="120" w:type="dxa"/>
            </w:tcMar>
            <w:vAlign w:val="center"/>
          </w:tcPr>
          <w:p w14:paraId="2BF956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获取指定电池的生命周期数据，支持循环范围筛选</w:t>
            </w:r>
          </w:p>
        </w:tc>
      </w:tr>
      <w:tr w14:paraId="070EE0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34DA88E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/api/predict/soh</w:t>
            </w:r>
          </w:p>
        </w:tc>
        <w:tc>
          <w:tcPr>
            <w:tcW w:w="1080" w:type="dxa"/>
            <w:tcBorders>
              <w:top w:val="nil"/>
              <w:left w:val="nil"/>
              <w:bottom w:val="nil"/>
              <w:right w:val="nil"/>
            </w:tcBorders>
            <w:noWrap w:val="0"/>
            <w:tcMar>
              <w:top w:w="80" w:type="dxa"/>
              <w:left w:w="120" w:type="dxa"/>
              <w:bottom w:w="80" w:type="dxa"/>
              <w:right w:w="120" w:type="dxa"/>
            </w:tcMar>
            <w:vAlign w:val="center"/>
          </w:tcPr>
          <w:p w14:paraId="252E793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601CD3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执行SOH/RUL联合预测，传入电池ID与特征数据</w:t>
            </w:r>
          </w:p>
        </w:tc>
      </w:tr>
      <w:tr w14:paraId="3D2E91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75951AE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/api/predict/batch</w:t>
            </w:r>
          </w:p>
        </w:tc>
        <w:tc>
          <w:tcPr>
            <w:tcW w:w="1080" w:type="dxa"/>
            <w:tcBorders>
              <w:top w:val="nil"/>
              <w:left w:val="nil"/>
              <w:bottom w:val="nil"/>
              <w:right w:val="nil"/>
            </w:tcBorders>
            <w:noWrap w:val="0"/>
            <w:tcMar>
              <w:top w:w="80" w:type="dxa"/>
              <w:left w:w="120" w:type="dxa"/>
              <w:bottom w:w="80" w:type="dxa"/>
              <w:right w:w="120" w:type="dxa"/>
            </w:tcMar>
            <w:vAlign w:val="center"/>
          </w:tcPr>
          <w:p w14:paraId="72CD25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7957121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批量预测，支持最多100条，返回任务ID供轮询</w:t>
            </w:r>
          </w:p>
        </w:tc>
      </w:tr>
      <w:tr w14:paraId="7DA395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620EB2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/api/alerts</w:t>
            </w:r>
          </w:p>
        </w:tc>
        <w:tc>
          <w:tcPr>
            <w:tcW w:w="1080" w:type="dxa"/>
            <w:tcBorders>
              <w:top w:val="nil"/>
              <w:left w:val="nil"/>
              <w:bottom w:val="nil"/>
              <w:right w:val="nil"/>
            </w:tcBorders>
            <w:noWrap w:val="0"/>
            <w:tcMar>
              <w:top w:w="80" w:type="dxa"/>
              <w:left w:w="120" w:type="dxa"/>
              <w:bottom w:w="80" w:type="dxa"/>
              <w:right w:w="120" w:type="dxa"/>
            </w:tcMar>
            <w:vAlign w:val="center"/>
          </w:tcPr>
          <w:p w14:paraId="3A6512E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w:t>
            </w:r>
          </w:p>
        </w:tc>
        <w:tc>
          <w:tcPr>
            <w:tcW w:w="5140" w:type="dxa"/>
            <w:tcBorders>
              <w:top w:val="nil"/>
              <w:left w:val="nil"/>
              <w:bottom w:val="nil"/>
              <w:right w:val="nil"/>
            </w:tcBorders>
            <w:noWrap w:val="0"/>
            <w:tcMar>
              <w:top w:w="80" w:type="dxa"/>
              <w:left w:w="120" w:type="dxa"/>
              <w:bottom w:w="80" w:type="dxa"/>
              <w:right w:w="120" w:type="dxa"/>
            </w:tcMar>
            <w:vAlign w:val="center"/>
          </w:tcPr>
          <w:p w14:paraId="2C5996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获取告警列表，支持按等级、时间、处理状态筛选</w:t>
            </w:r>
          </w:p>
        </w:tc>
      </w:tr>
      <w:tr w14:paraId="4B96AC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25F4DCD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/api/workorders</w:t>
            </w:r>
          </w:p>
        </w:tc>
        <w:tc>
          <w:tcPr>
            <w:tcW w:w="1080" w:type="dxa"/>
            <w:tcBorders>
              <w:top w:val="nil"/>
              <w:left w:val="nil"/>
              <w:bottom w:val="nil"/>
              <w:right w:val="nil"/>
            </w:tcBorders>
            <w:noWrap w:val="0"/>
            <w:tcMar>
              <w:top w:w="80" w:type="dxa"/>
              <w:left w:w="120" w:type="dxa"/>
              <w:bottom w:w="80" w:type="dxa"/>
              <w:right w:w="120" w:type="dxa"/>
            </w:tcMar>
            <w:vAlign w:val="center"/>
          </w:tcPr>
          <w:p w14:paraId="1BD6EA4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GET/POST</w:t>
            </w:r>
          </w:p>
        </w:tc>
        <w:tc>
          <w:tcPr>
            <w:tcW w:w="5140" w:type="dxa"/>
            <w:tcBorders>
              <w:top w:val="nil"/>
              <w:left w:val="nil"/>
              <w:bottom w:val="nil"/>
              <w:right w:val="nil"/>
            </w:tcBorders>
            <w:noWrap w:val="0"/>
            <w:tcMar>
              <w:top w:w="80" w:type="dxa"/>
              <w:left w:w="120" w:type="dxa"/>
              <w:bottom w:w="80" w:type="dxa"/>
              <w:right w:w="120" w:type="dxa"/>
            </w:tcMar>
            <w:vAlign w:val="center"/>
          </w:tcPr>
          <w:p w14:paraId="466FC4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工单列表查询与创建，POST时自动关联告警记录</w:t>
            </w:r>
          </w:p>
        </w:tc>
      </w:tr>
      <w:tr w14:paraId="0FDA7F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6620C6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/api/workorders/{id}</w:t>
            </w:r>
          </w:p>
        </w:tc>
        <w:tc>
          <w:tcPr>
            <w:tcW w:w="1080" w:type="dxa"/>
            <w:tcBorders>
              <w:top w:val="nil"/>
              <w:left w:val="nil"/>
              <w:bottom w:val="nil"/>
              <w:right w:val="nil"/>
            </w:tcBorders>
            <w:noWrap w:val="0"/>
            <w:tcMar>
              <w:top w:w="80" w:type="dxa"/>
              <w:left w:w="120" w:type="dxa"/>
              <w:bottom w:w="80" w:type="dxa"/>
              <w:right w:w="120" w:type="dxa"/>
            </w:tcMar>
            <w:vAlign w:val="center"/>
          </w:tcPr>
          <w:p w14:paraId="6A96D0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PUT</w:t>
            </w:r>
          </w:p>
        </w:tc>
        <w:tc>
          <w:tcPr>
            <w:tcW w:w="5140" w:type="dxa"/>
            <w:tcBorders>
              <w:top w:val="nil"/>
              <w:left w:val="nil"/>
              <w:bottom w:val="nil"/>
              <w:right w:val="nil"/>
            </w:tcBorders>
            <w:noWrap w:val="0"/>
            <w:tcMar>
              <w:top w:w="80" w:type="dxa"/>
              <w:left w:w="120" w:type="dxa"/>
              <w:bottom w:w="80" w:type="dxa"/>
              <w:right w:w="120" w:type="dxa"/>
            </w:tcMar>
            <w:vAlign w:val="center"/>
          </w:tcPr>
          <w:p w14:paraId="71827B2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更新工单状态，支持派发、接单、完成、挂起等操作</w:t>
            </w:r>
          </w:p>
        </w:tc>
      </w:tr>
      <w:tr w14:paraId="0CD335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103967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/api/workorders/{id}/assign</w:t>
            </w:r>
          </w:p>
        </w:tc>
        <w:tc>
          <w:tcPr>
            <w:tcW w:w="1080" w:type="dxa"/>
            <w:tcBorders>
              <w:top w:val="nil"/>
              <w:left w:val="nil"/>
              <w:bottom w:val="nil"/>
              <w:right w:val="nil"/>
            </w:tcBorders>
            <w:noWrap w:val="0"/>
            <w:tcMar>
              <w:top w:w="80" w:type="dxa"/>
              <w:left w:w="120" w:type="dxa"/>
              <w:bottom w:w="80" w:type="dxa"/>
              <w:right w:w="120" w:type="dxa"/>
            </w:tcMar>
            <w:vAlign w:val="center"/>
          </w:tcPr>
          <w:p w14:paraId="0EDD24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47B41E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智能派单，返回推荐人选列表与评分</w:t>
            </w:r>
          </w:p>
        </w:tc>
      </w:tr>
      <w:tr w14:paraId="6704EA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56E6465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/api/carbon/calculate</w:t>
            </w:r>
          </w:p>
        </w:tc>
        <w:tc>
          <w:tcPr>
            <w:tcW w:w="1080" w:type="dxa"/>
            <w:tcBorders>
              <w:top w:val="nil"/>
              <w:left w:val="nil"/>
              <w:bottom w:val="nil"/>
              <w:right w:val="nil"/>
            </w:tcBorders>
            <w:noWrap w:val="0"/>
            <w:tcMar>
              <w:top w:w="80" w:type="dxa"/>
              <w:left w:w="120" w:type="dxa"/>
              <w:bottom w:w="80" w:type="dxa"/>
              <w:right w:w="120" w:type="dxa"/>
            </w:tcMar>
            <w:vAlign w:val="center"/>
          </w:tcPr>
          <w:p w14:paraId="55A0EC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63FD49E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减碳核算，传入参数后返回双维度计算结果</w:t>
            </w:r>
          </w:p>
        </w:tc>
      </w:tr>
      <w:tr w14:paraId="6B6150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201865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/api/dashboard/summary</w:t>
            </w:r>
          </w:p>
        </w:tc>
        <w:tc>
          <w:tcPr>
            <w:tcW w:w="1080" w:type="dxa"/>
            <w:tcBorders>
              <w:top w:val="nil"/>
              <w:left w:val="nil"/>
              <w:bottom w:val="nil"/>
              <w:right w:val="nil"/>
            </w:tcBorders>
            <w:noWrap w:val="0"/>
            <w:tcMar>
              <w:top w:w="80" w:type="dxa"/>
              <w:left w:w="120" w:type="dxa"/>
              <w:bottom w:w="80" w:type="dxa"/>
              <w:right w:w="120" w:type="dxa"/>
            </w:tcMar>
            <w:vAlign w:val="center"/>
          </w:tcPr>
          <w:p w14:paraId="400AC1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w:t>
            </w:r>
          </w:p>
        </w:tc>
        <w:tc>
          <w:tcPr>
            <w:tcW w:w="5140" w:type="dxa"/>
            <w:tcBorders>
              <w:top w:val="nil"/>
              <w:left w:val="nil"/>
              <w:bottom w:val="nil"/>
              <w:right w:val="nil"/>
            </w:tcBorders>
            <w:noWrap w:val="0"/>
            <w:tcMar>
              <w:top w:w="80" w:type="dxa"/>
              <w:left w:w="120" w:type="dxa"/>
              <w:bottom w:w="80" w:type="dxa"/>
              <w:right w:w="120" w:type="dxa"/>
            </w:tcMar>
            <w:vAlign w:val="center"/>
          </w:tcPr>
          <w:p w14:paraId="6558859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获取大屏汇总数据，包含KPI指标与图表数据源</w:t>
            </w:r>
          </w:p>
        </w:tc>
      </w:tr>
      <w:tr w14:paraId="2E9387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739B24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/api/models</w:t>
            </w:r>
          </w:p>
        </w:tc>
        <w:tc>
          <w:tcPr>
            <w:tcW w:w="1080" w:type="dxa"/>
            <w:tcBorders>
              <w:top w:val="nil"/>
              <w:left w:val="nil"/>
              <w:bottom w:val="nil"/>
              <w:right w:val="nil"/>
            </w:tcBorders>
            <w:noWrap w:val="0"/>
            <w:tcMar>
              <w:top w:w="80" w:type="dxa"/>
              <w:left w:w="120" w:type="dxa"/>
              <w:bottom w:w="80" w:type="dxa"/>
              <w:right w:w="120" w:type="dxa"/>
            </w:tcMar>
            <w:vAlign w:val="center"/>
          </w:tcPr>
          <w:p w14:paraId="726FE0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GET/POST</w:t>
            </w:r>
          </w:p>
        </w:tc>
        <w:tc>
          <w:tcPr>
            <w:tcW w:w="5140" w:type="dxa"/>
            <w:tcBorders>
              <w:top w:val="nil"/>
              <w:left w:val="nil"/>
              <w:bottom w:val="nil"/>
              <w:right w:val="nil"/>
            </w:tcBorders>
            <w:noWrap w:val="0"/>
            <w:tcMar>
              <w:top w:w="80" w:type="dxa"/>
              <w:left w:w="120" w:type="dxa"/>
              <w:bottom w:w="80" w:type="dxa"/>
              <w:right w:w="120" w:type="dxa"/>
            </w:tcMar>
            <w:vAlign w:val="center"/>
          </w:tcPr>
          <w:p w14:paraId="2A01F1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模型列表查询与上传，POST时校验.pth文件格式</w:t>
            </w:r>
          </w:p>
        </w:tc>
      </w:tr>
      <w:tr w14:paraId="19DF80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0A23F6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/api/models/{id}/activate</w:t>
            </w:r>
          </w:p>
        </w:tc>
        <w:tc>
          <w:tcPr>
            <w:tcW w:w="1080" w:type="dxa"/>
            <w:tcBorders>
              <w:top w:val="nil"/>
              <w:left w:val="nil"/>
              <w:bottom w:val="nil"/>
              <w:right w:val="nil"/>
            </w:tcBorders>
            <w:noWrap w:val="0"/>
            <w:tcMar>
              <w:top w:w="80" w:type="dxa"/>
              <w:left w:w="120" w:type="dxa"/>
              <w:bottom w:w="80" w:type="dxa"/>
              <w:right w:w="120" w:type="dxa"/>
            </w:tcMar>
            <w:vAlign w:val="center"/>
          </w:tcPr>
          <w:p w14:paraId="4FA2B73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4CD5D2D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激活指定模型为在线服务模型</w:t>
            </w:r>
          </w:p>
        </w:tc>
      </w:tr>
      <w:tr w14:paraId="57D31E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nil"/>
              <w:right w:val="nil"/>
            </w:tcBorders>
            <w:noWrap w:val="0"/>
            <w:tcMar>
              <w:top w:w="80" w:type="dxa"/>
              <w:left w:w="120" w:type="dxa"/>
              <w:bottom w:w="80" w:type="dxa"/>
              <w:right w:w="120" w:type="dxa"/>
            </w:tcMar>
            <w:vAlign w:val="center"/>
          </w:tcPr>
          <w:p w14:paraId="633CC3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/api/train/start</w:t>
            </w:r>
          </w:p>
        </w:tc>
        <w:tc>
          <w:tcPr>
            <w:tcW w:w="1080" w:type="dxa"/>
            <w:tcBorders>
              <w:top w:val="nil"/>
              <w:left w:val="nil"/>
              <w:bottom w:val="nil"/>
              <w:right w:val="nil"/>
            </w:tcBorders>
            <w:noWrap w:val="0"/>
            <w:tcMar>
              <w:top w:w="80" w:type="dxa"/>
              <w:left w:w="120" w:type="dxa"/>
              <w:bottom w:w="80" w:type="dxa"/>
              <w:right w:w="120" w:type="dxa"/>
            </w:tcMar>
            <w:vAlign w:val="center"/>
          </w:tcPr>
          <w:p w14:paraId="1305D75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POST</w:t>
            </w:r>
          </w:p>
        </w:tc>
        <w:tc>
          <w:tcPr>
            <w:tcW w:w="5140" w:type="dxa"/>
            <w:tcBorders>
              <w:top w:val="nil"/>
              <w:left w:val="nil"/>
              <w:bottom w:val="nil"/>
              <w:right w:val="nil"/>
            </w:tcBorders>
            <w:noWrap w:val="0"/>
            <w:tcMar>
              <w:top w:w="80" w:type="dxa"/>
              <w:left w:w="120" w:type="dxa"/>
              <w:bottom w:w="80" w:type="dxa"/>
              <w:right w:w="120" w:type="dxa"/>
            </w:tcMar>
            <w:vAlign w:val="center"/>
          </w:tcPr>
          <w:p w14:paraId="3BEB82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启动训练任务，传入超参数配置</w:t>
            </w:r>
          </w:p>
        </w:tc>
      </w:tr>
      <w:tr w14:paraId="5593AB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285" w:type="dxa"/>
            <w:tcBorders>
              <w:top w:val="nil"/>
              <w:left w:val="nil"/>
              <w:bottom w:val="single" w:color="000000" w:sz="12" w:space="0"/>
              <w:right w:val="nil"/>
            </w:tcBorders>
            <w:noWrap w:val="0"/>
            <w:tcMar>
              <w:top w:w="80" w:type="dxa"/>
              <w:left w:w="120" w:type="dxa"/>
              <w:bottom w:w="80" w:type="dxa"/>
              <w:right w:w="120" w:type="dxa"/>
            </w:tcMar>
            <w:vAlign w:val="center"/>
          </w:tcPr>
          <w:p w14:paraId="617371C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/api/train/{id}/status</w:t>
            </w:r>
          </w:p>
        </w:tc>
        <w:tc>
          <w:tcPr>
            <w:tcW w:w="1080" w:type="dxa"/>
            <w:tcBorders>
              <w:top w:val="nil"/>
              <w:left w:val="nil"/>
              <w:bottom w:val="single" w:color="000000" w:sz="12" w:space="0"/>
              <w:right w:val="nil"/>
            </w:tcBorders>
            <w:noWrap w:val="0"/>
            <w:tcMar>
              <w:top w:w="80" w:type="dxa"/>
              <w:left w:w="120" w:type="dxa"/>
              <w:bottom w:w="80" w:type="dxa"/>
              <w:right w:w="120" w:type="dxa"/>
            </w:tcMar>
            <w:vAlign w:val="center"/>
          </w:tcPr>
          <w:p w14:paraId="02D12F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GET</w:t>
            </w:r>
          </w:p>
        </w:tc>
        <w:tc>
          <w:tcPr>
            <w:tcW w:w="5140" w:type="dxa"/>
            <w:tcBorders>
              <w:top w:val="nil"/>
              <w:left w:val="nil"/>
              <w:bottom w:val="single" w:color="000000" w:sz="12" w:space="0"/>
              <w:right w:val="nil"/>
            </w:tcBorders>
            <w:noWrap w:val="0"/>
            <w:tcMar>
              <w:top w:w="80" w:type="dxa"/>
              <w:left w:w="120" w:type="dxa"/>
              <w:bottom w:w="80" w:type="dxa"/>
              <w:right w:w="120" w:type="dxa"/>
            </w:tcMar>
            <w:vAlign w:val="center"/>
          </w:tcPr>
          <w:p w14:paraId="03574BE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查询训练任务状态与进度</w:t>
            </w:r>
          </w:p>
        </w:tc>
      </w:tr>
    </w:tbl>
    <w:p w14:paraId="560E8AC7">
      <w:pPr>
        <w:keepNext w:val="0"/>
        <w:keepLines w:val="0"/>
        <w:pageBreakBefore w:val="0"/>
        <w:widowControl w:val="0"/>
        <w:kinsoku/>
        <w:wordWrap/>
        <w:overflowPunct/>
        <w:topLinePunct w:val="0"/>
        <w:autoSpaceDE/>
        <w:autoSpaceDN/>
        <w:bidi w:val="0"/>
        <w:adjustRightInd/>
        <w:spacing w:line="240" w:lineRule="auto"/>
        <w:textAlignment w:val="auto"/>
        <w:rPr>
          <w:rFonts w:hint="eastAsia" w:cs="宋体"/>
          <w:b/>
          <w:bCs/>
          <w:sz w:val="22"/>
          <w:szCs w:val="22"/>
          <w:lang w:val="en-US" w:eastAsia="zh-CN"/>
        </w:rPr>
      </w:pPr>
      <w:r>
        <w:rPr>
          <w:rFonts w:hint="eastAsia" w:cs="宋体"/>
          <w:b/>
          <w:bCs/>
          <w:sz w:val="22"/>
          <w:szCs w:val="22"/>
          <w:lang w:val="en-US" w:eastAsia="zh-CN"/>
        </w:rPr>
        <w:t>2. 跨语言算力调用接口（Python子进程IPC）</w:t>
      </w:r>
    </w:p>
    <w:p w14:paraId="34980EAB">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应用场景：连接FastAPI业务主进程与PyTorch AI推理子进程。由于深度学习模型的前向传播涉及大量矩阵运算，为避免阻塞Web服务的事件循环，系统将AI推理隔离至独立Python子进程。</w:t>
      </w:r>
    </w:p>
    <w:p w14:paraId="0307A792">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调用机制：FastAPI通过Python标准库subprocess.Popen拉起推理脚本（inference.py），将待预测数据的文件路径或JSON字符串通过命令行参数（CLI）传入。推理脚本加载模型→执行前向传播→将包含SOH、RUL、置信度的结果序列化为JSON字符串→通过标准输出流（stdout）返回。FastAPI主进程通过process.communicate()捕获输出并解析。</w:t>
      </w:r>
    </w:p>
    <w:p w14:paraId="6F8DFB1C">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数据格式：输入参数：python inference.py --input /tmp/features_xxx.json --model bilstm_deephpm_v1.0.pth；输出结果：{"battery_id": "BAT001", "soh": 0.823, "rul": 156, "confidence": 0.92, "inference_time_ms": 45}。</w:t>
      </w:r>
    </w:p>
    <w:p w14:paraId="2E895FD7">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异常处理：若子进程超时（默认30秒）或返回非零退出码，主进程捕获异常并返回预测失败响应，同时记录错误日志供排查。</w:t>
      </w:r>
    </w:p>
    <w:p w14:paraId="1DA426D5">
      <w:pPr>
        <w:keepNext w:val="0"/>
        <w:keepLines w:val="0"/>
        <w:pageBreakBefore w:val="0"/>
        <w:widowControl w:val="0"/>
        <w:kinsoku/>
        <w:wordWrap/>
        <w:overflowPunct/>
        <w:topLinePunct w:val="0"/>
        <w:autoSpaceDE/>
        <w:autoSpaceDN/>
        <w:bidi w:val="0"/>
        <w:adjustRightInd/>
        <w:spacing w:line="240" w:lineRule="auto"/>
        <w:textAlignment w:val="auto"/>
        <w:rPr>
          <w:rFonts w:hint="eastAsia" w:cs="宋体"/>
          <w:b/>
          <w:bCs/>
          <w:sz w:val="22"/>
          <w:szCs w:val="22"/>
          <w:lang w:val="en-US" w:eastAsia="zh-CN"/>
        </w:rPr>
      </w:pPr>
      <w:r>
        <w:rPr>
          <w:rFonts w:hint="eastAsia" w:cs="宋体"/>
          <w:b/>
          <w:bCs/>
          <w:sz w:val="22"/>
          <w:szCs w:val="22"/>
          <w:lang w:val="en-US" w:eastAsia="zh-CN"/>
        </w:rPr>
        <w:t>3. 数据库事务接口（SQLAlchemy ORM）</w:t>
      </w:r>
    </w:p>
    <w:p w14:paraId="787E097F">
      <w:pPr>
        <w:keepNext w:val="0"/>
        <w:keepLines w:val="0"/>
        <w:pageBreakBefore w:val="0"/>
        <w:widowControl w:val="0"/>
        <w:numPr>
          <w:ilvl w:val="0"/>
          <w:numId w:val="4"/>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应用场景：确保工单状态流转、库存扣减等关键业务操作的数据一致性。</w:t>
      </w:r>
    </w:p>
    <w:p w14:paraId="21C3603F">
      <w:pPr>
        <w:keepNext w:val="0"/>
        <w:keepLines w:val="0"/>
        <w:pageBreakBefore w:val="0"/>
        <w:widowControl w:val="0"/>
        <w:numPr>
          <w:ilvl w:val="0"/>
          <w:numId w:val="4"/>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事务控制：采用SQLAlchemy 2.0的Session上下文管理器，配合async with实现异步事务。关键操作（如派单时同时更新工单状态+扣减备件库存+记录操作日志）包裹在同一事务中，任一步骤失败则整体回滚。</w:t>
      </w:r>
    </w:p>
    <w:p w14:paraId="6AF4B867">
      <w:pPr>
        <w:keepNext w:val="0"/>
        <w:keepLines w:val="0"/>
        <w:pageBreakBefore w:val="0"/>
        <w:widowControl w:val="0"/>
        <w:numPr>
          <w:ilvl w:val="0"/>
          <w:numId w:val="4"/>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连接池配置：MySQL连接池大小20，溢出上限10，连接回收时间3600秒，开启Keep-Alive保障长连接稳定性。</w:t>
      </w:r>
    </w:p>
    <w:p w14:paraId="30AE3A24">
      <w:pPr>
        <w:keepNext w:val="0"/>
        <w:keepLines w:val="0"/>
        <w:pageBreakBefore w:val="0"/>
        <w:widowControl w:val="0"/>
        <w:kinsoku/>
        <w:wordWrap/>
        <w:overflowPunct/>
        <w:topLinePunct w:val="0"/>
        <w:autoSpaceDE/>
        <w:autoSpaceDN/>
        <w:bidi w:val="0"/>
        <w:adjustRightInd/>
        <w:spacing w:line="240" w:lineRule="auto"/>
        <w:textAlignment w:val="auto"/>
        <w:rPr>
          <w:rFonts w:hint="eastAsia" w:cs="宋体"/>
          <w:b/>
          <w:bCs/>
          <w:sz w:val="22"/>
          <w:szCs w:val="22"/>
          <w:lang w:val="en-US" w:eastAsia="zh-CN"/>
        </w:rPr>
      </w:pPr>
      <w:r>
        <w:rPr>
          <w:rFonts w:hint="eastAsia" w:cs="宋体"/>
          <w:b/>
          <w:bCs/>
          <w:sz w:val="22"/>
          <w:szCs w:val="22"/>
          <w:lang w:val="en-US" w:eastAsia="zh-CN"/>
        </w:rPr>
        <w:t>4. 小程序端通信接口</w:t>
      </w:r>
    </w:p>
    <w:p w14:paraId="3BE46620">
      <w:pPr>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应用场景：UniApp小程序通过uni.request()调用后端API，与PC端共享同一套RESTful接口。</w:t>
      </w:r>
    </w:p>
    <w:p w14:paraId="272CBB73">
      <w:pPr>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差异处理：由于小程序环境限制，不支持localStorage存储JWT，系统采用uni.setStorageSync()实现Token持久化；图片上传采用uni.uploadFile()分块传输，后端接收后暂存至临时目录再处理。</w:t>
      </w:r>
    </w:p>
    <w:p w14:paraId="292AB56A">
      <w:pPr>
        <w:keepNext w:val="0"/>
        <w:keepLines w:val="0"/>
        <w:pageBreakBefore w:val="0"/>
        <w:widowControl w:val="0"/>
        <w:numPr>
          <w:ilvl w:val="0"/>
          <w:numId w:val="5"/>
        </w:numPr>
        <w:kinsoku/>
        <w:wordWrap/>
        <w:overflowPunct/>
        <w:topLinePunct w:val="0"/>
        <w:autoSpaceDE/>
        <w:autoSpaceDN/>
        <w:bidi w:val="0"/>
        <w:adjustRightInd/>
        <w:snapToGrid/>
        <w:spacing w:line="276" w:lineRule="auto"/>
        <w:ind w:left="425" w:leftChars="0" w:hanging="425" w:firstLineChars="0"/>
        <w:textAlignment w:val="auto"/>
        <w:rPr>
          <w:rFonts w:hint="eastAsia" w:ascii="宋体" w:hAnsi="宋体" w:eastAsia="宋体" w:cs="宋体"/>
          <w:sz w:val="21"/>
          <w:szCs w:val="21"/>
        </w:rPr>
      </w:pPr>
      <w:r>
        <w:rPr>
          <w:rFonts w:hint="eastAsia" w:ascii="宋体" w:hAnsi="宋体" w:eastAsia="宋体" w:cs="宋体"/>
          <w:sz w:val="21"/>
          <w:szCs w:val="21"/>
        </w:rPr>
        <w:t>数据同步：小程序端关键页面（如工单列表）采用下拉刷新+定时轮询（30秒间隔）机制，确保与PC端数据准实时同步。</w:t>
      </w:r>
    </w:p>
    <w:p w14:paraId="02B880A5">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pPr>
      <w:bookmarkStart w:id="20" w:name="_Toc15103"/>
      <w:r>
        <w:t>3.2.3 关键数据结构</w:t>
      </w:r>
      <w:bookmarkEnd w:id="20"/>
    </w:p>
    <w:p w14:paraId="31640B1B">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本系统后端基于 FastAPI 与 Python 开发，全面采用面向对象与异步非阻塞的编程思想。系统运行时，数据库中的物理表记录或外部 API 传入的 JSON 数据，会被映射为内存中的 Pydantic 强类型数据模型。根据系统核心业务逻辑（电池健康状态预测、工单闭环与减碳核算），关键信息在内存中的概念数据模型及核心数据存储结构定义如下：</w:t>
      </w:r>
    </w:p>
    <w:p w14:paraId="155146D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概念数据模型</w:t>
      </w:r>
    </w:p>
    <w:p w14:paraId="31D3C0DC">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anchor distT="0" distB="0" distL="114300" distR="114300" simplePos="0" relativeHeight="251669504" behindDoc="0" locked="0" layoutInCell="1" allowOverlap="1">
            <wp:simplePos x="0" y="0"/>
            <wp:positionH relativeFrom="column">
              <wp:posOffset>10160</wp:posOffset>
            </wp:positionH>
            <wp:positionV relativeFrom="paragraph">
              <wp:posOffset>603250</wp:posOffset>
            </wp:positionV>
            <wp:extent cx="4990465" cy="3036570"/>
            <wp:effectExtent l="0" t="0" r="635" b="1905"/>
            <wp:wrapTopAndBottom/>
            <wp:docPr id="11" name="图片 11" descr="mermaid-diagram-2026-04-15-22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ermaid-diagram-2026-04-15-220056"/>
                    <pic:cNvPicPr>
                      <a:picLocks noChangeAspect="1"/>
                    </pic:cNvPicPr>
                  </pic:nvPicPr>
                  <pic:blipFill>
                    <a:blip r:embed="rId12"/>
                    <a:stretch>
                      <a:fillRect/>
                    </a:stretch>
                  </pic:blipFill>
                  <pic:spPr>
                    <a:xfrm>
                      <a:off x="0" y="0"/>
                      <a:ext cx="4990465" cy="3036570"/>
                    </a:xfrm>
                    <a:prstGeom prst="rect">
                      <a:avLst/>
                    </a:prstGeom>
                  </pic:spPr>
                </pic:pic>
              </a:graphicData>
            </a:graphic>
          </wp:anchor>
        </w:drawing>
      </w:r>
      <w:r>
        <w:rPr>
          <w:rFonts w:hint="eastAsia" w:ascii="宋体" w:hAnsi="宋体" w:eastAsia="宋体" w:cs="宋体"/>
          <w:sz w:val="21"/>
          <w:szCs w:val="21"/>
        </w:rPr>
        <w:t>系统核心类图展示了五大关键业务实体及其在内存中的交互关系：User（系统鉴权与工单执行）、BatteryAsset（储能资产与时序特征底座）、PredictionTask（统筹深度学习推理）、WorkOrder（流转业务状态机）以及 CarbonCalculator（减碳指标核算）。</w:t>
      </w:r>
    </w:p>
    <w:p w14:paraId="02891BBF">
      <w:pPr>
        <w:pStyle w:val="8"/>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1"/>
          <w:szCs w:val="21"/>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系统核心类图</w:t>
      </w:r>
    </w:p>
    <w:p w14:paraId="4FF010A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 关键内存数据结构</w:t>
      </w:r>
    </w:p>
    <w:p w14:paraId="3ED7C0A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结合上述概念模型，系统在运行期间的高频内存数据结构主要包含以下五类：</w:t>
      </w:r>
    </w:p>
    <w:p w14:paraId="1E9330D6">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动态用户调度上下文 (User 实体)</w:t>
      </w:r>
    </w:p>
    <w:p w14:paraId="2B30F39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在内存中，该结构不仅保存用户的基础鉴权信息（id, role），还动态持有当前用户的工单负载状态。当底层算法触发电芯异常预警并启动智能派单时，系统会将状态为空闲的运维人员对象加载至内存中，结合其角色权限（RBAC）进行任务的合理分配。</w:t>
      </w:r>
    </w:p>
    <w:p w14:paraId="428DD801">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 AI 预测与训练任务栈 (PredictionTask 实体)</w:t>
      </w:r>
    </w:p>
    <w:p w14:paraId="4727353F">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用于在内存中追踪和控制深度学习模型（BiLSTM/DeepHPM）的前向推演与自定义训练流程。其内部包含任务的运行状态标签（pending / processing / completed）以及从边缘端接入的 8 维特征张量流。配合 FastAPI 的后台任务（BackgroundTasks）机制，该结构可确保在高频矩阵运算时不会阻塞主线程。</w:t>
      </w:r>
    </w:p>
    <w:p w14:paraId="701E570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(3) 时序特征与预测结果结构 (PredictionResult 实体)</w:t>
      </w:r>
    </w:p>
    <w:p w14:paraId="7523F28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这是连接 PyTorch算力层与FastAPI 业务层的核心数据结构。在内存中，它的底层存储形式为包含具体预测指标的数组结构</w:t>
      </w:r>
      <w:r>
        <w:rPr>
          <w:rFonts w:hint="eastAsia" w:cs="宋体"/>
          <w:sz w:val="21"/>
          <w:szCs w:val="21"/>
          <w:lang w:eastAsia="zh-CN"/>
        </w:rPr>
        <w:t>。</w:t>
      </w:r>
      <w:r>
        <w:rPr>
          <w:rFonts w:hint="eastAsia" w:ascii="宋体" w:hAnsi="宋体" w:eastAsia="宋体" w:cs="宋体"/>
          <w:sz w:val="21"/>
          <w:szCs w:val="21"/>
        </w:rPr>
        <w:t>系统会在内存中提取这些数值，与预设的阶梯式阈值</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P</m:t>
            </m:r>
            <m:ctrlPr>
              <w:rPr>
                <w:rFonts w:ascii="Cambria Math" w:hAnsi="Cambria Math" w:cs="宋体"/>
                <w:i/>
                <w:sz w:val="21"/>
                <w:szCs w:val="21"/>
              </w:rPr>
            </m:ctrlPr>
          </m:e>
          <m:sub>
            <m:r>
              <m:rPr/>
              <w:rPr>
                <w:rFonts w:hint="default" w:ascii="Cambria Math" w:hAnsi="Cambria Math" w:cs="宋体"/>
                <w:sz w:val="21"/>
                <w:szCs w:val="21"/>
                <w:lang w:val="en-US" w:eastAsia="zh-CN"/>
              </w:rPr>
              <m:t>err</m:t>
            </m:r>
            <m:ctrlPr>
              <w:rPr>
                <w:rFonts w:ascii="Cambria Math" w:hAnsi="Cambria Math" w:cs="宋体"/>
                <w:i/>
                <w:sz w:val="21"/>
                <w:szCs w:val="21"/>
              </w:rPr>
            </m:ctrlPr>
          </m:sub>
        </m:sSub>
      </m:oMath>
      <w:r>
        <w:rPr>
          <w:rFonts w:hint="eastAsia" w:ascii="宋体" w:hAnsi="宋体" w:eastAsia="宋体" w:cs="宋体"/>
          <w:sz w:val="21"/>
          <w:szCs w:val="21"/>
        </w:rPr>
        <w:t>进行比对，判定最终的健康等级（绿/黄/红态）后，再将其持久化输出给前端。</w:t>
      </w:r>
    </w:p>
    <w:p w14:paraId="1C9F72D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(4) 业务工单聚合根 (WorkOrder 实体)</w:t>
      </w:r>
    </w:p>
    <w:p w14:paraId="49FC762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工单是贯穿设备巡检与抢修全生命周期的核心对象。在内存流转中，它包含一系列状态机行为方法（如 createOrder, processOrder, archiveOrder）。该对象在被实例化时，会严格绑定触发本次预警的具体电芯编号与异常参数，确保运维人员在现场执行时拥有准确的处置依据。</w:t>
      </w:r>
    </w:p>
    <w:p w14:paraId="24EE20C7">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(5) 减碳效益核算引擎 (CarbonCalculator 实体)</w:t>
      </w:r>
    </w:p>
    <w:p w14:paraId="4D97027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对应系统的环境经济学价值计算模块。当接收到前端表单注入的额定容量、循环次数及电池物理材质等参数后，系统会在内存中实例化该核算对象，并调用其内部封装的数学公式，直接换算出</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C</m:t>
            </m:r>
            <m:ctrlPr>
              <w:rPr>
                <w:rFonts w:ascii="Cambria Math" w:hAnsi="Cambria Math" w:cs="宋体"/>
                <w:i/>
                <w:sz w:val="21"/>
                <w:szCs w:val="21"/>
              </w:rPr>
            </m:ctrlPr>
          </m:e>
          <m:sub>
            <m:r>
              <m:rPr/>
              <w:rPr>
                <w:rFonts w:hint="default" w:ascii="Cambria Math" w:hAnsi="Cambria Math" w:cs="宋体"/>
                <w:sz w:val="21"/>
                <w:szCs w:val="21"/>
                <w:lang w:val="en-US" w:eastAsia="zh-CN"/>
              </w:rPr>
              <m:t>ext</m:t>
            </m:r>
            <m:ctrlPr>
              <w:rPr>
                <w:rFonts w:ascii="Cambria Math" w:hAnsi="Cambria Math" w:cs="宋体"/>
                <w:i/>
                <w:sz w:val="21"/>
                <w:szCs w:val="21"/>
              </w:rPr>
            </m:ctrlPr>
          </m:sub>
        </m:sSub>
      </m:oMath>
      <w:r>
        <w:rPr>
          <w:rFonts w:hint="eastAsia" w:ascii="宋体" w:hAnsi="宋体" w:eastAsia="宋体" w:cs="宋体"/>
          <w:sz w:val="21"/>
          <w:szCs w:val="21"/>
        </w:rPr>
        <w:t>（延寿减碳量）与</w:t>
      </w:r>
      <m:oMath>
        <m:sSub>
          <m:sSubPr>
            <m:ctrlPr>
              <w:rPr>
                <w:rFonts w:ascii="Cambria Math" w:hAnsi="Cambria Math" w:cs="宋体"/>
                <w:i/>
                <w:sz w:val="21"/>
                <w:szCs w:val="21"/>
              </w:rPr>
            </m:ctrlPr>
          </m:sSubPr>
          <m:e>
            <m:r>
              <m:rPr/>
              <w:rPr>
                <w:rFonts w:hint="default" w:ascii="Cambria Math" w:hAnsi="Cambria Math" w:cs="宋体"/>
                <w:sz w:val="21"/>
                <w:szCs w:val="21"/>
                <w:lang w:val="en-US" w:eastAsia="zh-CN"/>
              </w:rPr>
              <m:t>C</m:t>
            </m:r>
            <m:ctrlPr>
              <w:rPr>
                <w:rFonts w:ascii="Cambria Math" w:hAnsi="Cambria Math" w:cs="宋体"/>
                <w:i/>
                <w:sz w:val="21"/>
                <w:szCs w:val="21"/>
              </w:rPr>
            </m:ctrlPr>
          </m:e>
          <m:sub>
            <m:r>
              <m:rPr/>
              <w:rPr>
                <w:rFonts w:hint="default" w:ascii="Cambria Math" w:hAnsi="Cambria Math" w:cs="宋体"/>
                <w:sz w:val="21"/>
                <w:szCs w:val="21"/>
                <w:lang w:val="en-US" w:eastAsia="zh-CN"/>
              </w:rPr>
              <m:t>pv</m:t>
            </m:r>
            <m:ctrlPr>
              <w:rPr>
                <w:rFonts w:ascii="Cambria Math" w:hAnsi="Cambria Math" w:cs="宋体"/>
                <w:i/>
                <w:sz w:val="21"/>
                <w:szCs w:val="21"/>
              </w:rPr>
            </m:ctrlPr>
          </m:sub>
        </m:sSub>
      </m:oMath>
      <w:r>
        <w:rPr>
          <w:rFonts w:hint="eastAsia" w:ascii="宋体" w:hAnsi="宋体" w:eastAsia="宋体" w:cs="宋体"/>
          <w:sz w:val="21"/>
          <w:szCs w:val="21"/>
        </w:rPr>
        <w:t>（峰谷套利减碳量）。以此在内存级别完成复杂的经济指标换算，有效降低了数据库的重复查询负担。</w:t>
      </w:r>
    </w:p>
    <w:p w14:paraId="758D8CF0">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21" w:name="_Toc14441"/>
      <w:r>
        <w:rPr>
          <w:rFonts w:hint="eastAsia" w:ascii="黑体" w:hAnsi="黑体" w:eastAsia="黑体" w:cs="黑体"/>
          <w:sz w:val="24"/>
          <w:szCs w:val="24"/>
        </w:rPr>
        <w:t>3.3 系统界面设计</w:t>
      </w:r>
      <w:bookmarkEnd w:id="21"/>
    </w:p>
    <w:p w14:paraId="73B3BAE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本系统针对不同的应用场景，采用“云端统筹监控 + 移动端现场执行”的端云协同设计策略。整体界面设计被划分为面向管理人员的 PC 端 Web 调度台，以及面向一线外勤人员的移动端小程序作业终端，两者既独立运行又保持着统一的视觉规范与业务逻辑。</w:t>
      </w:r>
    </w:p>
    <w:p w14:paraId="712A1DB0">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pPr>
      <w:bookmarkStart w:id="22" w:name="_Toc7433"/>
      <w:r>
        <w:t>3.3.1 界面设计风格</w:t>
      </w:r>
      <w:bookmarkEnd w:id="22"/>
    </w:p>
    <w:p w14:paraId="5B0914B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整体视觉与配色规范</w:t>
      </w:r>
    </w:p>
    <w:p w14:paraId="5A24C689">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系统根据双端不同的使用环境和目标群体，制定了差异化的视觉方案：</w:t>
      </w:r>
    </w:p>
    <w:p w14:paraId="616139A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PC 端 Web 界面： 侧重于数据密集型展示与全局监控，采用深色工业风格。主背景选用深蓝色，交互高亮与数据强调色分别采用亮蓝与青色，以减轻调度人员长时间盯盘的视觉疲劳。同时，系统引入了标准的交通灯配色语义以区分告警级别：绿色代表健康，黄色代表预警，红色代表严重故障，帮助用户直观、快速地识别电池安全状态。在字体排版上，规范了多级标题的字号，确保数字对齐与高易读性。</w:t>
      </w:r>
    </w:p>
    <w:p w14:paraId="01BBA7EB">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移动端小程序： 侧重于现场的敏捷操作，采用符合移动端习惯的浅色简约风格。以纯白为基础背景，</w:t>
      </w:r>
      <w:r>
        <w:rPr>
          <w:rFonts w:hint="eastAsia" w:cs="宋体"/>
          <w:sz w:val="21"/>
          <w:szCs w:val="21"/>
          <w:lang w:val="en-US" w:eastAsia="zh-CN"/>
        </w:rPr>
        <w:t>湖</w:t>
      </w:r>
      <w:r>
        <w:rPr>
          <w:rFonts w:hint="eastAsia" w:ascii="宋体" w:hAnsi="宋体" w:eastAsia="宋体" w:cs="宋体"/>
          <w:sz w:val="21"/>
          <w:szCs w:val="21"/>
        </w:rPr>
        <w:t>蓝为主题色，浅灰作为区域分割色。底部固定 TabBar 导航，提供四个核心业务入口（首页、告警、工单、我的）。内容区域大面积使用卡片式布局，增加手指触控面积，降低户外复杂环境下的操作误触率。</w:t>
      </w:r>
    </w:p>
    <w:p w14:paraId="5648C147">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 PC端Web页面布局</w:t>
      </w:r>
    </w:p>
    <w:p w14:paraId="7252E62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PC 端 Web 页面采用标准的 B 端后台主从式空间布局，主要由三个逻辑区域构成，确保操作路径清晰：</w:t>
      </w:r>
    </w:p>
    <w:p w14:paraId="2BF15F0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0340" cy="3039745"/>
            <wp:effectExtent l="0" t="0" r="0" b="0"/>
            <wp:docPr id="12" name="图片 12" descr="屏幕截图 2026-04-10 22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225828"/>
                    <pic:cNvPicPr>
                      <a:picLocks noChangeAspect="1"/>
                    </pic:cNvPicPr>
                  </pic:nvPicPr>
                  <pic:blipFill>
                    <a:blip r:embed="rId13"/>
                    <a:srcRect t="9131"/>
                    <a:stretch>
                      <a:fillRect/>
                    </a:stretch>
                  </pic:blipFill>
                  <pic:spPr>
                    <a:xfrm>
                      <a:off x="0" y="0"/>
                      <a:ext cx="5260340" cy="3039745"/>
                    </a:xfrm>
                    <a:prstGeom prst="rect">
                      <a:avLst/>
                    </a:prstGeom>
                  </pic:spPr>
                </pic:pic>
              </a:graphicData>
            </a:graphic>
          </wp:inline>
        </w:drawing>
      </w:r>
    </w:p>
    <w:p w14:paraId="7F6B41B9">
      <w:pPr>
        <w:pStyle w:val="8"/>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1"/>
          <w:szCs w:val="21"/>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Web端主页面</w:t>
      </w:r>
    </w:p>
    <w:p w14:paraId="0B2E080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左侧导航栏： 采用垂直折叠式菜单设计，配备深色底色以区分主工作区。菜单结构划分为一级功能模块（涵盖首页、核心业务、算法中台、系统管理）与二级子菜单。当前激活的菜单项会以主题色高亮显示，方便用户随时明确当前所处的业务层级。</w:t>
      </w:r>
    </w:p>
    <w:p w14:paraId="56F3E4C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顶部工具栏： 固定于视窗上方。左侧展示系统标识与名称；右侧集中放置全局业务搜索框、系统消息通知（辅以徽标红点提示未读消息），以及当前登录用户的个人中心与安全退出入口</w:t>
      </w:r>
    </w:p>
    <w:p w14:paraId="5011527F">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右侧主工作区： 承载具体业务功能的核心渲染区。页面元素采用卡片式容器进行包裹封装，利用适度的留白划分不同的数据区块。对于复杂的数据层级，提供面包屑导航辅助路径回溯；对于包含大量时序特征的数据表格组件，支持首列固定与横向滚动功能，确保超宽数据查看的连贯性。</w:t>
      </w:r>
    </w:p>
    <w:p w14:paraId="1850F71A">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ascii="宋体" w:hAnsi="宋体" w:eastAsia="宋体" w:cs="宋体"/>
          <w:b/>
          <w:bCs/>
          <w:sz w:val="24"/>
          <w:szCs w:val="24"/>
        </w:rPr>
        <w:t>3. 小程序端页面布局</w:t>
      </w:r>
    </w:p>
    <w:p w14:paraId="6DA9AEAC">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系统针对移动端的使用环境，采用了移动优先及适合手指触控的交互设计规范：</w:t>
      </w:r>
    </w:p>
    <w:p w14:paraId="01A9D5BA">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4655185" cy="2421255"/>
            <wp:effectExtent l="0" t="0" r="2540" b="0"/>
            <wp:docPr id="13" name="图片 13" descr="26c3ac6a594b175f4fbebc81cffa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6c3ac6a594b175f4fbebc81cffaef06"/>
                    <pic:cNvPicPr>
                      <a:picLocks noChangeAspect="1"/>
                    </pic:cNvPicPr>
                  </pic:nvPicPr>
                  <pic:blipFill>
                    <a:blip r:embed="rId14"/>
                    <a:srcRect t="2496" b="-2334"/>
                    <a:stretch>
                      <a:fillRect/>
                    </a:stretch>
                  </pic:blipFill>
                  <pic:spPr>
                    <a:xfrm>
                      <a:off x="0" y="0"/>
                      <a:ext cx="4655185" cy="2421255"/>
                    </a:xfrm>
                    <a:prstGeom prst="rect">
                      <a:avLst/>
                    </a:prstGeom>
                  </pic:spPr>
                </pic:pic>
              </a:graphicData>
            </a:graphic>
          </wp:inline>
        </w:drawing>
      </w:r>
    </w:p>
    <w:p w14:paraId="34BC6A60">
      <w:pPr>
        <w:pStyle w:val="8"/>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1"/>
          <w:szCs w:val="21"/>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小程序端</w:t>
      </w:r>
      <w:r>
        <w:rPr>
          <w:rFonts w:hint="eastAsia"/>
          <w:lang w:val="en-US" w:eastAsia="zh-CN"/>
        </w:rPr>
        <w:t>部分</w:t>
      </w:r>
      <w:r>
        <w:rPr>
          <w:rFonts w:hint="eastAsia"/>
          <w:lang w:eastAsia="zh-CN"/>
        </w:rPr>
        <w:t>页面</w:t>
      </w:r>
    </w:p>
    <w:p w14:paraId="67A5195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底部 TabBar： 采用底部固定悬浮导航栏，划分“首页”、“告警”、“工单”和“我的”四个核心业务入口。采用图标加文字的组合形式并高亮显示当前所在路由页面。</w:t>
      </w:r>
    </w:p>
    <w:p w14:paraId="24CB608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顶部导航栏： 采用自定义组件构建，左侧提供返回操作（首页自动隐藏），中部展示当前页面标题，右侧预留数据筛选或页面刷新等功能触发按钮。</w:t>
      </w:r>
    </w:p>
    <w:p w14:paraId="44C7E82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内容区布局： 首页采用“数据仪表盘 + 功能宫格”的复合布局；列表页采用流式卡片设计；详情页则采用分组表单展示。系统确保所有可交互点击区域的最小高度不低于 44px，以显著降低现场人员在户外走动或佩戴手套时的误触率。</w:t>
      </w:r>
    </w:p>
    <w:p w14:paraId="785F3933">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rPr>
      </w:pPr>
      <w:bookmarkStart w:id="23" w:name="_Toc29956"/>
      <w:r>
        <w:rPr>
          <w:rFonts w:hint="eastAsia"/>
        </w:rPr>
        <w:t>3.3.2 主要功能页面</w:t>
      </w:r>
      <w:bookmarkEnd w:id="23"/>
    </w:p>
    <w:p w14:paraId="16B2F87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结合用户角色的业务职能，系统的主要功能页面及其设计特色、操作方法如下：</w:t>
      </w:r>
    </w:p>
    <w:p w14:paraId="0A107AB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【PC端Web主要功能页面】</w:t>
      </w:r>
    </w:p>
    <w:p w14:paraId="501F87DF">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（1）可视化大屏（Dashboard）</w:t>
      </w:r>
    </w:p>
    <w:p w14:paraId="5948E3B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设计特色： 页面采用深色背景的模块化卡片布局。顶部横向展示“电芯总数、累计循环、特征维度、数据完整率”四大核心 KPI 指标卡，并附带环比变化趋势标识。中央核心区域为电芯健康热力矩阵图，通过从绿色到红色的渐变直观映射 SOH 衰退程度。两侧及底部辅以 SOH 趋势折线图、减碳成效对比图和最新预警动态时间轴。</w:t>
      </w:r>
    </w:p>
    <w:p w14:paraId="21E919E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ascii="宋体" w:hAnsi="宋体" w:eastAsia="宋体" w:cs="宋体"/>
          <w:sz w:val="24"/>
          <w:szCs w:val="24"/>
        </w:rPr>
      </w:pPr>
      <w:r>
        <w:rPr>
          <w:rFonts w:hint="eastAsia" w:ascii="宋体" w:hAnsi="宋体" w:eastAsia="宋体" w:cs="宋体"/>
          <w:sz w:val="21"/>
          <w:szCs w:val="21"/>
        </w:rPr>
        <w:t>操作方法： 支持鼠标悬浮触发 Tooltip 查看具体指标数值；点击热力图中的特定电芯色块可下钻查看该单体电芯的历史台账与特征详情；用户可通过顶部的时间选择器动态切换全局数据的统计周期。</w:t>
      </w:r>
    </w:p>
    <w:p w14:paraId="1F0ED04C">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（2）电芯预测预警（CellPrediction）</w:t>
      </w:r>
    </w:p>
    <w:p w14:paraId="1D6DA0DF">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设计特色： 采用“左配置、右结果”的双栏布局结构。左侧为算法配置面板，提供模型选择、置信度阈值设定及目标电芯勾选功能；右侧展示健康、预警、故障三级判定条件与 SOP 处置建议。下方数据表格汇总待处理电芯，列出 SOH/RUL 预测值、预警等级及 AI 操作建议。</w:t>
      </w:r>
    </w:p>
    <w:p w14:paraId="528B2D4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操作方法： 用户配置参数后点击“开始预测”，系统异步调用后台深度学习模型并实时更新进度条；预测完成后，结果自动渲染至下方表格。用户可点击表格行展开历史衰减趋势图，或点击“生成工单”按钮一键将异常特征推入维修流转队列。</w:t>
      </w:r>
    </w:p>
    <w:p w14:paraId="1C439C87">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（3）减碳核算（CarbonCalculation）</w:t>
      </w:r>
    </w:p>
    <w:p w14:paraId="348BD7DC">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设计特色： 采用“上参数、下结果”的纵向结构。上方为参数配置表单，包含储能容量、AI 延寿比例、日充放次数及峰谷碳差等核心计算参量，并配有参数说明提示。下方以高亮数字卡片实时展示延寿减碳量、峰谷套利减碳量和年度总减碳量（吨 CO₂/年），并配以柱状对比图。</w:t>
      </w:r>
    </w:p>
    <w:p w14:paraId="3B52DC4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b/>
          <w:bCs/>
          <w:sz w:val="21"/>
          <w:szCs w:val="21"/>
          <w:lang w:eastAsia="zh-CN"/>
        </w:rPr>
      </w:pPr>
      <w:r>
        <w:rPr>
          <w:rFonts w:hint="eastAsia" w:ascii="宋体" w:hAnsi="宋体" w:eastAsia="宋体" w:cs="宋体"/>
          <w:sz w:val="21"/>
          <w:szCs w:val="21"/>
        </w:rPr>
        <w:t>操作方法： 当用户修改任意参数表单项后，系统前端立刻触发重新计算并刷新页面数据。提供“导出报告”功能生成标准化的 PDF 核算报表，并支持“重置默认”功能快速恢复至预设的行业基准参数。</w:t>
      </w:r>
    </w:p>
    <w:p w14:paraId="44C12AB7">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（4）数据管理（DataManagement）</w:t>
      </w:r>
    </w:p>
    <w:p w14:paraId="137856B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设计特色： 采用标准的“统计看板 + 筛选区 + 数据表格”布局。顶部展示电池总数、记录总数及数据质量评分等统计信息；筛选区支持按编号、循环范围或完整度进行多条件组合查询；底层表格支持字段排序、自定义分页与多选操作。</w:t>
      </w:r>
    </w:p>
    <w:p w14:paraId="2EB86DD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操作方法： 支持通过拖拽方式批量导入 CSV/Excel 数据集文件，系统会自动校验字段格式并高亮提示异常行；用户可勾选目标记录导出特征数据，或点击单行操作列的“详情”查看完整维度的时序记录。</w:t>
      </w:r>
    </w:p>
    <w:p w14:paraId="706838D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【小程序端主要功能页面】</w:t>
      </w:r>
    </w:p>
    <w:p w14:paraId="67AA542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（5）小程序首页</w:t>
      </w:r>
    </w:p>
    <w:p w14:paraId="09EED31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设计特色： 顶部展示当前登录人员的姓名与岗位角色标识；中部采用环形仪表盘直观呈现设备健康、预警与故障的占比分布，圆心提炼整体健康率；下方设置“AI 预测、告警列表、我的工单、扫码溯源”四个快捷宫格入口，大图标设计便于在户外快速锁定。</w:t>
      </w:r>
    </w:p>
    <w:p w14:paraId="413C845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操作方法： 下拉屏幕触发接口请求以刷新仪表盘数据；点击宫格图标路由至对应业务模块；点击健康分布环形图的不同区块，可快捷跳转至对应状态的电池筛选列表。</w:t>
      </w:r>
    </w:p>
    <w:p w14:paraId="3298736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（6）工单处理页</w:t>
      </w:r>
    </w:p>
    <w:p w14:paraId="249D5F2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设计特色： 采用“步骤向导”式的交互设计，将复杂的标准维修流程拆解为“接单 → 到场 → 处理 → 结单”四个清晰的业务节点。当前进度节点高亮放大，历史已完成节点自动展示标记。底部为固定操作区域，根据工单当前状态机动态下发对应的可用操作按钮。</w:t>
      </w:r>
    </w:p>
    <w:p w14:paraId="7728443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操作方法： 运维人员点击消息推送进入工单详情；依次点击“确认接单”（后台记录响应时间戳）和“确认到场”；维修排查完成后点击“上传凭证”，调用移动端底层相机接口拍摄现场归档照片；最后填写维修日志并“确认结单”，完成整个业务闭环。</w:t>
      </w:r>
    </w:p>
    <w:p w14:paraId="42D6A59A">
      <w:pPr>
        <w:pStyle w:val="4"/>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rPr>
      </w:pPr>
      <w:bookmarkStart w:id="24" w:name="_Toc17970"/>
      <w:r>
        <w:rPr>
          <w:rFonts w:hint="eastAsia"/>
        </w:rPr>
        <w:t>3.3.3 Web网站页面结构设计</w:t>
      </w:r>
      <w:bookmarkEnd w:id="24"/>
    </w:p>
    <w:p w14:paraId="429CA81F">
      <w:pPr>
        <w:spacing w:before="150" w:after="80"/>
        <w:jc w:val="center"/>
        <w:rPr>
          <w:rFonts w:hint="eastAsia" w:ascii="宋体" w:hAnsi="宋体" w:eastAsia="宋体" w:cs="宋体"/>
          <w:sz w:val="21"/>
          <w:szCs w:val="21"/>
        </w:rPr>
      </w:pPr>
      <w:r>
        <w:rPr>
          <w:rFonts w:hint="eastAsia" w:ascii="宋体" w:hAnsi="宋体" w:eastAsia="宋体" w:cs="宋体"/>
          <w:sz w:val="21"/>
          <w:szCs w:val="21"/>
        </w:rPr>
        <w:t>为降低企业用户的学习门槛，PC 端 Web 网站基于 Vue Router 实现了单页面应用（SPA）的动态路由管理，页面物理层级结构清晰，符合 B 端系统操作直觉。全站页面结构如下：</w:t>
      </w:r>
    </w:p>
    <w:p w14:paraId="1AAE51B3">
      <w:pPr>
        <w:spacing w:before="150" w:after="8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72405" cy="3721735"/>
            <wp:effectExtent l="0" t="0" r="0" b="0"/>
            <wp:docPr id="14" name="图片 14" descr="C:/Users/wubin/Desktop/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wubin/Desktop/图片3.png图片3"/>
                    <pic:cNvPicPr>
                      <a:picLocks noChangeAspect="1"/>
                    </pic:cNvPicPr>
                  </pic:nvPicPr>
                  <pic:blipFill>
                    <a:blip r:embed="rId15"/>
                    <a:srcRect l="42" r="42"/>
                    <a:stretch>
                      <a:fillRect/>
                    </a:stretch>
                  </pic:blipFill>
                  <pic:spPr>
                    <a:xfrm>
                      <a:off x="0" y="0"/>
                      <a:ext cx="5272405" cy="3721735"/>
                    </a:xfrm>
                    <a:prstGeom prst="rect">
                      <a:avLst/>
                    </a:prstGeom>
                  </pic:spPr>
                </pic:pic>
              </a:graphicData>
            </a:graphic>
          </wp:inline>
        </w:drawing>
      </w:r>
    </w:p>
    <w:p w14:paraId="4684198C">
      <w:pPr>
        <w:pStyle w:val="8"/>
        <w:spacing w:before="150" w:after="80"/>
        <w:jc w:val="center"/>
        <w:rPr>
          <w:rFonts w:hint="eastAsia" w:ascii="宋体" w:hAnsi="宋体" w:eastAsia="宋体" w:cs="宋体"/>
          <w:sz w:val="21"/>
          <w:szCs w:val="21"/>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网站页面结构图</w:t>
      </w:r>
    </w:p>
    <w:p w14:paraId="060E27C1">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一级导航与路由层级：</w:t>
      </w:r>
    </w:p>
    <w:p w14:paraId="28EEFF5D">
      <w:pPr>
        <w:keepNext w:val="0"/>
        <w:keepLines w:val="0"/>
        <w:pageBreakBefore w:val="0"/>
        <w:widowControl w:val="0"/>
        <w:numPr>
          <w:ilvl w:val="0"/>
          <w:numId w:val="6"/>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首页模块 (/dashboard)：系统的默认落地页承载全局监控大屏与核心态势感知数据。</w:t>
      </w:r>
    </w:p>
    <w:p w14:paraId="730441A7">
      <w:pPr>
        <w:keepNext w:val="0"/>
        <w:keepLines w:val="0"/>
        <w:pageBreakBefore w:val="0"/>
        <w:widowControl w:val="0"/>
        <w:numPr>
          <w:ilvl w:val="0"/>
          <w:numId w:val="6"/>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核心业务模块 (/business/*)：聚焦日常监控与运维执行，下设电芯预测预警 (/prediction)、减碳核算 (/carbon)、告警管理 (/alerts) 及工单管理 (/workorders) 四个核心子页面。</w:t>
      </w:r>
    </w:p>
    <w:p w14:paraId="1612467C">
      <w:pPr>
        <w:keepNext w:val="0"/>
        <w:keepLines w:val="0"/>
        <w:pageBreakBefore w:val="0"/>
        <w:widowControl w:val="0"/>
        <w:numPr>
          <w:ilvl w:val="0"/>
          <w:numId w:val="6"/>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算法中台模块 (/algorithm/*)：专供数据或算法工程师使用，包含数据管理 (/data)、算法训练 (/train)、测试验证 (/test)、模型仓库 (/models) 与结果分析 (/analysis) 五个工作沙箱页面。</w:t>
      </w:r>
    </w:p>
    <w:p w14:paraId="35DFB925">
      <w:pPr>
        <w:keepNext w:val="0"/>
        <w:keepLines w:val="0"/>
        <w:pageBreakBefore w:val="0"/>
        <w:widowControl w:val="0"/>
        <w:numPr>
          <w:ilvl w:val="0"/>
          <w:numId w:val="6"/>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系统管理模块 (/system/*)：底层权限与配置区域，包含用户管理 (/users)、角色权限分配 (/roles) 和系统全局设置 (/settings) 三个子页面。</w:t>
      </w:r>
    </w:p>
    <w:p w14:paraId="1051F1D5">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路由守卫与安全拦截：</w:t>
      </w:r>
    </w:p>
    <w:p w14:paraId="04F4A05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系统在前端配置了严格的全局路由守卫。全局前置守卫负责校验JWT Token的有效性，未携带合法凭证的请求会被强制重定向至登录页；页面级守卫则结合用户的角色属性进行细粒度鉴权，若越权访问敏感路由（如尝试进入系统管理模块），系统将自动拦截路由跳转并展示 403 权限拒绝提示页。</w:t>
      </w:r>
    </w:p>
    <w:p w14:paraId="2B72F94D">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49E5114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7262760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178E53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53B1731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716DFBE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73C39CD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CEAF52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233B192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66EC51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4519002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DC10AD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6325571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189F73EF">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2828BC0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27C31DD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4C19395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5C7D741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A0436C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7D54A7B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5D7E76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1AEA945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28946F2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F58C3B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B057B2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54B6B42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C497AE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66ECA9E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7C24210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CA5051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21A0C5A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4B8FB51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DAE84D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2BB9E5E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3A3057C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600522BB">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7D42D046">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5E85CFB">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4244B160">
      <w:pPr>
        <w:pStyle w:val="2"/>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32"/>
          <w:szCs w:val="32"/>
        </w:rPr>
      </w:pPr>
      <w:bookmarkStart w:id="25" w:name="_Toc18233"/>
      <w:r>
        <w:rPr>
          <w:rFonts w:hint="eastAsia" w:ascii="黑体" w:hAnsi="黑体" w:eastAsia="黑体" w:cs="黑体"/>
          <w:sz w:val="32"/>
          <w:szCs w:val="32"/>
        </w:rPr>
        <w:t>4 系统安装及使用说明</w:t>
      </w:r>
      <w:bookmarkEnd w:id="25"/>
    </w:p>
    <w:p w14:paraId="63EFB9F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本章旨在详细阐述“慧管电池”系统的私有化安装部署规范与标准操作 SOP。内容全面覆盖基础运行环境搭建、后端计算引擎配置、前端（PC端/小程序端）编译发布，以及业务开箱使用的完整生命周期。</w:t>
      </w:r>
    </w:p>
    <w:p w14:paraId="76773FF4">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26" w:name="_Toc9886"/>
      <w:r>
        <w:rPr>
          <w:rFonts w:hint="eastAsia" w:ascii="黑体" w:hAnsi="黑体" w:eastAsia="黑体" w:cs="黑体"/>
          <w:sz w:val="24"/>
          <w:szCs w:val="24"/>
        </w:rPr>
        <w:t>4.1 运行环境及依赖准备</w:t>
      </w:r>
      <w:bookmarkEnd w:id="26"/>
    </w:p>
    <w:p w14:paraId="1B7D437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基础软件环境</w:t>
      </w:r>
    </w:p>
    <w:p w14:paraId="48B4944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为保障系统的稳定运行与边缘计算的高效吞吐，部署前需严格核对服务器基础环境</w:t>
      </w:r>
      <w:r>
        <w:rPr>
          <w:rFonts w:hint="eastAsia" w:cs="宋体"/>
          <w:sz w:val="21"/>
          <w:szCs w:val="21"/>
          <w:lang w:eastAsia="zh-CN"/>
        </w:rPr>
        <w:t>。</w:t>
      </w:r>
    </w:p>
    <w:p w14:paraId="5B370E31">
      <w:pPr>
        <w:pStyle w:val="8"/>
        <w:jc w:val="center"/>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w:t>
      </w:r>
      <w:r>
        <w:rPr>
          <w:rFonts w:hint="eastAsia"/>
          <w:lang w:val="en-US" w:eastAsia="zh-CN"/>
        </w:rPr>
        <w:t>基础软件环境清单</w:t>
      </w:r>
      <w:r>
        <w:rPr>
          <w:rFonts w:hint="eastAsia"/>
          <w:lang w:eastAsia="zh-CN"/>
        </w:rPr>
        <w:t>表</w:t>
      </w:r>
    </w:p>
    <w:tbl>
      <w:tblPr>
        <w:tblStyle w:val="20"/>
        <w:tblW w:w="1003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23"/>
        <w:gridCol w:w="2331"/>
        <w:gridCol w:w="5428"/>
        <w:gridCol w:w="252"/>
      </w:tblGrid>
      <w:tr w14:paraId="74E6F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207" w:type="dxa"/>
          <w:trHeight w:val="0" w:hRule="atLeast"/>
          <w:tblHeader/>
          <w:tblCellSpacing w:w="15" w:type="dxa"/>
          <w:jc w:val="center"/>
        </w:trPr>
        <w:tc>
          <w:tcPr>
            <w:tcW w:w="197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3D0F38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eastAsia" w:ascii="宋体" w:hAnsi="宋体" w:eastAsia="宋体" w:cs="宋体"/>
                <w:sz w:val="21"/>
                <w:szCs w:val="21"/>
              </w:rPr>
            </w:pPr>
            <w:r>
              <w:rPr>
                <w:rFonts w:hint="default" w:ascii="宋体" w:hAnsi="宋体" w:eastAsia="宋体" w:cs="宋体"/>
                <w:sz w:val="21"/>
                <w:szCs w:val="21"/>
                <w:lang w:val="en-US" w:eastAsia="zh-CN"/>
              </w:rPr>
              <w:t>软件名称</w:t>
            </w:r>
          </w:p>
        </w:tc>
        <w:tc>
          <w:tcPr>
            <w:tcW w:w="230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C21DAE6">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版本要求</w:t>
            </w:r>
          </w:p>
        </w:tc>
        <w:tc>
          <w:tcPr>
            <w:tcW w:w="538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4B7CD3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用途说明</w:t>
            </w:r>
          </w:p>
        </w:tc>
      </w:tr>
      <w:tr w14:paraId="25DD3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7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A7A26C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Python</w:t>
            </w:r>
          </w:p>
        </w:tc>
        <w:tc>
          <w:tcPr>
            <w:tcW w:w="230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B396B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3.10 LTS 及以上</w:t>
            </w:r>
          </w:p>
        </w:tc>
        <w:tc>
          <w:tcPr>
            <w:tcW w:w="5635" w:type="dxa"/>
            <w:gridSpan w:val="2"/>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DD0849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后端异步运行环境与深度学习模型（PyTorch）前向推理</w:t>
            </w:r>
          </w:p>
        </w:tc>
      </w:tr>
      <w:tr w14:paraId="2777E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78" w:type="dxa"/>
            <w:tcBorders>
              <w:top w:val="nil"/>
              <w:left w:val="nil"/>
              <w:bottom w:val="nil"/>
              <w:right w:val="nil"/>
            </w:tcBorders>
            <w:shd w:val="clear" w:color="auto" w:fill="auto"/>
            <w:noWrap w:val="0"/>
            <w:tcMar>
              <w:top w:w="-1" w:type="dxa"/>
              <w:left w:w="-1" w:type="dxa"/>
              <w:bottom w:w="-1" w:type="dxa"/>
              <w:right w:w="-1" w:type="dxa"/>
            </w:tcMar>
            <w:vAlign w:val="center"/>
          </w:tcPr>
          <w:p w14:paraId="2E21AA5D">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Node.js</w:t>
            </w:r>
          </w:p>
        </w:tc>
        <w:tc>
          <w:tcPr>
            <w:tcW w:w="2301" w:type="dxa"/>
            <w:tcBorders>
              <w:top w:val="nil"/>
              <w:left w:val="nil"/>
              <w:bottom w:val="nil"/>
              <w:right w:val="nil"/>
            </w:tcBorders>
            <w:shd w:val="clear" w:color="auto" w:fill="auto"/>
            <w:noWrap w:val="0"/>
            <w:tcMar>
              <w:top w:w="-1" w:type="dxa"/>
              <w:left w:w="-1" w:type="dxa"/>
              <w:bottom w:w="-1" w:type="dxa"/>
              <w:right w:w="-1" w:type="dxa"/>
            </w:tcMar>
            <w:vAlign w:val="center"/>
          </w:tcPr>
          <w:p w14:paraId="5D089E5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18.x LTS 及以上</w:t>
            </w:r>
          </w:p>
        </w:tc>
        <w:tc>
          <w:tcPr>
            <w:tcW w:w="563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309593F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Vue3 前端项目构建与 Vite 开发服务器底层依赖</w:t>
            </w:r>
          </w:p>
        </w:tc>
      </w:tr>
      <w:tr w14:paraId="30907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78" w:type="dxa"/>
            <w:tcBorders>
              <w:top w:val="nil"/>
              <w:left w:val="nil"/>
              <w:bottom w:val="nil"/>
              <w:right w:val="nil"/>
            </w:tcBorders>
            <w:shd w:val="clear" w:color="auto" w:fill="auto"/>
            <w:noWrap w:val="0"/>
            <w:tcMar>
              <w:top w:w="-1" w:type="dxa"/>
              <w:left w:w="-1" w:type="dxa"/>
              <w:bottom w:w="-1" w:type="dxa"/>
              <w:right w:w="-1" w:type="dxa"/>
            </w:tcMar>
            <w:vAlign w:val="center"/>
          </w:tcPr>
          <w:p w14:paraId="16E5428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MySQL</w:t>
            </w:r>
          </w:p>
        </w:tc>
        <w:tc>
          <w:tcPr>
            <w:tcW w:w="2301" w:type="dxa"/>
            <w:tcBorders>
              <w:top w:val="nil"/>
              <w:left w:val="nil"/>
              <w:bottom w:val="nil"/>
              <w:right w:val="nil"/>
            </w:tcBorders>
            <w:shd w:val="clear" w:color="auto" w:fill="auto"/>
            <w:noWrap w:val="0"/>
            <w:tcMar>
              <w:top w:w="-1" w:type="dxa"/>
              <w:left w:w="-1" w:type="dxa"/>
              <w:bottom w:w="-1" w:type="dxa"/>
              <w:right w:w="-1" w:type="dxa"/>
            </w:tcMar>
            <w:vAlign w:val="center"/>
          </w:tcPr>
          <w:p w14:paraId="6E0359C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8.0 及以上</w:t>
            </w:r>
          </w:p>
        </w:tc>
        <w:tc>
          <w:tcPr>
            <w:tcW w:w="563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6D687B8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核心业务表单与全生命周期特征数据的持久化存储</w:t>
            </w:r>
          </w:p>
        </w:tc>
      </w:tr>
      <w:tr w14:paraId="1ACF2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78" w:type="dxa"/>
            <w:tcBorders>
              <w:top w:val="nil"/>
              <w:left w:val="nil"/>
              <w:bottom w:val="nil"/>
              <w:right w:val="nil"/>
            </w:tcBorders>
            <w:shd w:val="clear" w:color="auto" w:fill="auto"/>
            <w:noWrap w:val="0"/>
            <w:tcMar>
              <w:top w:w="-1" w:type="dxa"/>
              <w:left w:w="-1" w:type="dxa"/>
              <w:bottom w:w="-1" w:type="dxa"/>
              <w:right w:w="-1" w:type="dxa"/>
            </w:tcMar>
            <w:vAlign w:val="center"/>
          </w:tcPr>
          <w:p w14:paraId="5F3875E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Nginx</w:t>
            </w:r>
          </w:p>
        </w:tc>
        <w:tc>
          <w:tcPr>
            <w:tcW w:w="2301" w:type="dxa"/>
            <w:tcBorders>
              <w:top w:val="nil"/>
              <w:left w:val="nil"/>
              <w:bottom w:val="nil"/>
              <w:right w:val="nil"/>
            </w:tcBorders>
            <w:shd w:val="clear" w:color="auto" w:fill="auto"/>
            <w:noWrap w:val="0"/>
            <w:tcMar>
              <w:top w:w="-1" w:type="dxa"/>
              <w:left w:w="-1" w:type="dxa"/>
              <w:bottom w:w="-1" w:type="dxa"/>
              <w:right w:w="-1" w:type="dxa"/>
            </w:tcMar>
            <w:vAlign w:val="center"/>
          </w:tcPr>
          <w:p w14:paraId="28F6C84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1.24 稳定版及以上</w:t>
            </w:r>
          </w:p>
        </w:tc>
        <w:tc>
          <w:tcPr>
            <w:tcW w:w="563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68813F9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生产环境下的前端静态资源托管与 API 接口反向代理</w:t>
            </w:r>
          </w:p>
        </w:tc>
      </w:tr>
      <w:tr w14:paraId="67B65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78" w:type="dxa"/>
            <w:tcBorders>
              <w:top w:val="nil"/>
              <w:left w:val="nil"/>
              <w:bottom w:val="nil"/>
              <w:right w:val="nil"/>
            </w:tcBorders>
            <w:shd w:val="clear" w:color="auto" w:fill="auto"/>
            <w:noWrap w:val="0"/>
            <w:tcMar>
              <w:top w:w="-1" w:type="dxa"/>
              <w:left w:w="-1" w:type="dxa"/>
              <w:bottom w:w="-1" w:type="dxa"/>
              <w:right w:w="-1" w:type="dxa"/>
            </w:tcMar>
            <w:vAlign w:val="center"/>
          </w:tcPr>
          <w:p w14:paraId="2AD735F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微信开发者工具</w:t>
            </w:r>
          </w:p>
        </w:tc>
        <w:tc>
          <w:tcPr>
            <w:tcW w:w="2301" w:type="dxa"/>
            <w:tcBorders>
              <w:top w:val="nil"/>
              <w:left w:val="nil"/>
              <w:bottom w:val="nil"/>
              <w:right w:val="nil"/>
            </w:tcBorders>
            <w:shd w:val="clear" w:color="auto" w:fill="auto"/>
            <w:noWrap w:val="0"/>
            <w:tcMar>
              <w:top w:w="-1" w:type="dxa"/>
              <w:left w:w="-1" w:type="dxa"/>
              <w:bottom w:w="-1" w:type="dxa"/>
              <w:right w:w="-1" w:type="dxa"/>
            </w:tcMar>
            <w:vAlign w:val="center"/>
          </w:tcPr>
          <w:p w14:paraId="12FCE6B3">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最新稳定版</w:t>
            </w:r>
          </w:p>
        </w:tc>
        <w:tc>
          <w:tcPr>
            <w:tcW w:w="563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6B53C1D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移动端小程序界面编译、真机调试与代码包上传发布</w:t>
            </w:r>
          </w:p>
        </w:tc>
      </w:tr>
      <w:tr w14:paraId="0FD32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97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25C2194">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HBuilderX</w:t>
            </w:r>
          </w:p>
        </w:tc>
        <w:tc>
          <w:tcPr>
            <w:tcW w:w="230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E489C0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最新稳定版</w:t>
            </w:r>
          </w:p>
        </w:tc>
        <w:tc>
          <w:tcPr>
            <w:tcW w:w="5635" w:type="dxa"/>
            <w:gridSpan w:val="2"/>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A7CFC2D">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center"/>
              <w:textAlignment w:val="auto"/>
              <w:rPr>
                <w:rFonts w:hint="default" w:ascii="宋体" w:hAnsi="宋体" w:eastAsia="宋体" w:cs="宋体"/>
                <w:sz w:val="21"/>
                <w:szCs w:val="21"/>
              </w:rPr>
            </w:pPr>
            <w:r>
              <w:rPr>
                <w:rFonts w:hint="default" w:ascii="宋体" w:hAnsi="宋体" w:eastAsia="宋体" w:cs="宋体"/>
                <w:sz w:val="21"/>
                <w:szCs w:val="21"/>
                <w:lang w:val="en-US" w:eastAsia="zh-CN"/>
              </w:rPr>
              <w:t>UniApp 跨平台移动端项目的工程管理与原生编译</w:t>
            </w:r>
          </w:p>
        </w:tc>
      </w:tr>
    </w:tbl>
    <w:p w14:paraId="386B599C">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 Python依赖安装</w:t>
      </w:r>
    </w:p>
    <w:p w14:paraId="469CEA3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为规避服务器全局环境的包冲突问题，系统后端强制要求采用虚拟环境（Virtual Environment）进行工程隔离。请在终端执行以下初始化构建指令：</w:t>
      </w:r>
    </w:p>
    <w:p w14:paraId="2749A1FD">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27" w:name="_Toc24692"/>
      <w:r>
        <w:rPr>
          <w:rFonts w:hint="eastAsia" w:ascii="黑体" w:hAnsi="黑体" w:eastAsia="黑体" w:cs="黑体"/>
          <w:sz w:val="24"/>
          <w:szCs w:val="24"/>
        </w:rPr>
        <mc:AlternateContent>
          <mc:Choice Requires="wps">
            <w:drawing>
              <wp:anchor distT="0" distB="0" distL="114300" distR="114300" simplePos="0" relativeHeight="251660288" behindDoc="0" locked="0" layoutInCell="1" allowOverlap="1">
                <wp:simplePos x="0" y="0"/>
                <wp:positionH relativeFrom="column">
                  <wp:posOffset>-289560</wp:posOffset>
                </wp:positionH>
                <wp:positionV relativeFrom="paragraph">
                  <wp:posOffset>15240</wp:posOffset>
                </wp:positionV>
                <wp:extent cx="5953125" cy="1856105"/>
                <wp:effectExtent l="4445" t="4445" r="5080" b="6350"/>
                <wp:wrapTopAndBottom/>
                <wp:docPr id="15" name="文本框 15"/>
                <wp:cNvGraphicFramePr/>
                <a:graphic xmlns:a="http://schemas.openxmlformats.org/drawingml/2006/main">
                  <a:graphicData uri="http://schemas.microsoft.com/office/word/2010/wordprocessingShape">
                    <wps:wsp>
                      <wps:cNvSpPr txBox="1"/>
                      <wps:spPr>
                        <a:xfrm>
                          <a:off x="0" y="0"/>
                          <a:ext cx="5953125" cy="18561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E8BAA4">
                            <w:pPr>
                              <w:rPr>
                                <w:rFonts w:hint="eastAsia"/>
                              </w:rPr>
                            </w:pPr>
                            <w:r>
                              <w:rPr>
                                <w:rFonts w:hint="eastAsia"/>
                              </w:rPr>
                              <w:t># 1. 在后端项目根目录下创建专用的虚拟环境</w:t>
                            </w:r>
                          </w:p>
                          <w:p w14:paraId="7C823369">
                            <w:pPr>
                              <w:rPr>
                                <w:rFonts w:hint="eastAsia"/>
                              </w:rPr>
                            </w:pPr>
                            <w:r>
                              <w:rPr>
                                <w:rFonts w:hint="eastAsia"/>
                              </w:rPr>
                              <w:t>python -m venv .venv</w:t>
                            </w:r>
                          </w:p>
                          <w:p w14:paraId="6157D84E">
                            <w:pPr>
                              <w:rPr>
                                <w:rFonts w:hint="eastAsia"/>
                              </w:rPr>
                            </w:pPr>
                            <w:r>
                              <w:rPr>
                                <w:rFonts w:hint="eastAsia"/>
                              </w:rPr>
                              <w:t># 2. 激活虚拟环境</w:t>
                            </w:r>
                          </w:p>
                          <w:p w14:paraId="14288584">
                            <w:pPr>
                              <w:rPr>
                                <w:rFonts w:hint="eastAsia"/>
                              </w:rPr>
                            </w:pPr>
                            <w:r>
                              <w:rPr>
                                <w:rFonts w:hint="eastAsia"/>
                              </w:rPr>
                              <w:t># Windows 系统执行：</w:t>
                            </w:r>
                          </w:p>
                          <w:p w14:paraId="59648A59">
                            <w:pPr>
                              <w:rPr>
                                <w:rFonts w:hint="eastAsia"/>
                              </w:rPr>
                            </w:pPr>
                            <w:r>
                              <w:rPr>
                                <w:rFonts w:hint="eastAsia"/>
                              </w:rPr>
                              <w:t>.venv\Scripts\activate</w:t>
                            </w:r>
                          </w:p>
                          <w:p w14:paraId="34812355">
                            <w:pPr>
                              <w:rPr>
                                <w:rFonts w:hint="eastAsia"/>
                              </w:rPr>
                            </w:pPr>
                            <w:r>
                              <w:rPr>
                                <w:rFonts w:hint="eastAsia"/>
                              </w:rPr>
                              <w:t># Linux / macOS 系统执行：</w:t>
                            </w:r>
                          </w:p>
                          <w:p w14:paraId="30C20F2D">
                            <w:pPr>
                              <w:rPr>
                                <w:rFonts w:hint="eastAsia"/>
                              </w:rPr>
                            </w:pPr>
                            <w:r>
                              <w:rPr>
                                <w:rFonts w:hint="eastAsia"/>
                              </w:rPr>
                              <w:t>source .venv/bin/activate</w:t>
                            </w:r>
                          </w:p>
                          <w:p w14:paraId="6A591206">
                            <w:pPr>
                              <w:rPr>
                                <w:rFonts w:hint="eastAsia"/>
                              </w:rPr>
                            </w:pPr>
                            <w:r>
                              <w:rPr>
                                <w:rFonts w:hint="eastAsia"/>
                              </w:rPr>
                              <w:t># 3. 挂载清华源并全量安装核心依赖栈</w:t>
                            </w:r>
                          </w:p>
                          <w:p w14:paraId="3D230F60">
                            <w:pPr>
                              <w:jc w:val="left"/>
                              <w:rPr>
                                <w:rFonts w:hint="eastAsia"/>
                              </w:rPr>
                            </w:pPr>
                            <w:r>
                              <w:rPr>
                                <w:rFonts w:hint="eastAsia"/>
                              </w:rPr>
                              <w:t>pip install -r requirements.txt -i https://pypi.tuna.tsinghua.edu.cn/simple</w:t>
                            </w:r>
                          </w:p>
                        </w:txbxContent>
                      </wps:txbx>
                      <wps:bodyPr wrap="square" upright="1">
                        <a:noAutofit/>
                      </wps:bodyPr>
                    </wps:wsp>
                  </a:graphicData>
                </a:graphic>
              </wp:anchor>
            </w:drawing>
          </mc:Choice>
          <mc:Fallback>
            <w:pict>
              <v:shape id="_x0000_s1026" o:spid="_x0000_s1026" o:spt="202" type="#_x0000_t202" style="position:absolute;left:0pt;margin-left:-22.8pt;margin-top:1.2pt;height:146.15pt;width:468.75pt;mso-wrap-distance-bottom:0pt;mso-wrap-distance-top:0pt;z-index:251660288;mso-width-relative:page;mso-height-relative:page;" fillcolor="#FFFFFF" filled="t" stroked="t" coordsize="21600,21600" o:gfxdata="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Mbt&#10;itgAAAAJAQAADwAAAAAAAAABACAAAAAiAAAAZHJzL2Rvd25yZXYueG1sUEsBAhQAFAAAAAgAh07i&#10;QJ7wujIiAgAAYQQAAA4AAAAAAAAAAQAgAAAAJwEAAGRycy9lMm9Eb2MueG1sUEsFBgAAAAAGAAYA&#10;WQEAALsFAAAAAA==&#10;">
                <v:fill on="t" focussize="0,0"/>
                <v:stroke color="#000000" joinstyle="miter"/>
                <v:imagedata o:title=""/>
                <o:lock v:ext="edit" aspectratio="f"/>
                <v:textbox>
                  <w:txbxContent>
                    <w:p w14:paraId="13E8BAA4">
                      <w:pPr>
                        <w:rPr>
                          <w:rFonts w:hint="eastAsia"/>
                        </w:rPr>
                      </w:pPr>
                      <w:r>
                        <w:rPr>
                          <w:rFonts w:hint="eastAsia"/>
                        </w:rPr>
                        <w:t># 1. 在后端项目根目录下创建专用的虚拟环境</w:t>
                      </w:r>
                    </w:p>
                    <w:p w14:paraId="7C823369">
                      <w:pPr>
                        <w:rPr>
                          <w:rFonts w:hint="eastAsia"/>
                        </w:rPr>
                      </w:pPr>
                      <w:r>
                        <w:rPr>
                          <w:rFonts w:hint="eastAsia"/>
                        </w:rPr>
                        <w:t>python -m venv .venv</w:t>
                      </w:r>
                    </w:p>
                    <w:p w14:paraId="6157D84E">
                      <w:pPr>
                        <w:rPr>
                          <w:rFonts w:hint="eastAsia"/>
                        </w:rPr>
                      </w:pPr>
                      <w:r>
                        <w:rPr>
                          <w:rFonts w:hint="eastAsia"/>
                        </w:rPr>
                        <w:t># 2. 激活虚拟环境</w:t>
                      </w:r>
                    </w:p>
                    <w:p w14:paraId="14288584">
                      <w:pPr>
                        <w:rPr>
                          <w:rFonts w:hint="eastAsia"/>
                        </w:rPr>
                      </w:pPr>
                      <w:r>
                        <w:rPr>
                          <w:rFonts w:hint="eastAsia"/>
                        </w:rPr>
                        <w:t># Windows 系统执行：</w:t>
                      </w:r>
                    </w:p>
                    <w:p w14:paraId="59648A59">
                      <w:pPr>
                        <w:rPr>
                          <w:rFonts w:hint="eastAsia"/>
                        </w:rPr>
                      </w:pPr>
                      <w:r>
                        <w:rPr>
                          <w:rFonts w:hint="eastAsia"/>
                        </w:rPr>
                        <w:t>.venv\Scripts\activate</w:t>
                      </w:r>
                    </w:p>
                    <w:p w14:paraId="34812355">
                      <w:pPr>
                        <w:rPr>
                          <w:rFonts w:hint="eastAsia"/>
                        </w:rPr>
                      </w:pPr>
                      <w:r>
                        <w:rPr>
                          <w:rFonts w:hint="eastAsia"/>
                        </w:rPr>
                        <w:t># Linux / macOS 系统执行：</w:t>
                      </w:r>
                    </w:p>
                    <w:p w14:paraId="30C20F2D">
                      <w:pPr>
                        <w:rPr>
                          <w:rFonts w:hint="eastAsia"/>
                        </w:rPr>
                      </w:pPr>
                      <w:r>
                        <w:rPr>
                          <w:rFonts w:hint="eastAsia"/>
                        </w:rPr>
                        <w:t>source .venv/bin/activate</w:t>
                      </w:r>
                    </w:p>
                    <w:p w14:paraId="6A591206">
                      <w:pPr>
                        <w:rPr>
                          <w:rFonts w:hint="eastAsia"/>
                        </w:rPr>
                      </w:pPr>
                      <w:r>
                        <w:rPr>
                          <w:rFonts w:hint="eastAsia"/>
                        </w:rPr>
                        <w:t># 3. 挂载清华源并全量安装核心依赖栈</w:t>
                      </w:r>
                    </w:p>
                    <w:p w14:paraId="3D230F60">
                      <w:pPr>
                        <w:jc w:val="left"/>
                        <w:rPr>
                          <w:rFonts w:hint="eastAsia"/>
                        </w:rPr>
                      </w:pPr>
                      <w:r>
                        <w:rPr>
                          <w:rFonts w:hint="eastAsia"/>
                        </w:rPr>
                        <w:t>pip install -r requirements.txt -i https://pypi.tuna.tsinghua.edu.cn/simple</w:t>
                      </w:r>
                    </w:p>
                  </w:txbxContent>
                </v:textbox>
                <w10:wrap type="topAndBottom"/>
              </v:shape>
            </w:pict>
          </mc:Fallback>
        </mc:AlternateContent>
      </w:r>
      <w:r>
        <w:rPr>
          <w:rFonts w:hint="eastAsia" w:ascii="黑体" w:hAnsi="黑体" w:eastAsia="黑体" w:cs="黑体"/>
          <w:sz w:val="24"/>
          <w:szCs w:val="24"/>
        </w:rPr>
        <w:t>4.2 数据库部署与配置</w:t>
      </w:r>
      <w:bookmarkEnd w:id="27"/>
    </w:p>
    <w:p w14:paraId="4ECFB716">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数据库创建与初始化</w:t>
      </w:r>
    </w:p>
    <w:p w14:paraId="48766D82">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系统采用 MySQL 8.0 作为数据底座。请通过 Navicat 等可视化工具或终端登录 MySQL 实例，并依次执行以下脚本完成结构初始化：</w:t>
      </w:r>
    </w:p>
    <w:p w14:paraId="6928100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sz w:val="21"/>
        </w:rPr>
        <mc:AlternateContent>
          <mc:Choice Requires="wps">
            <w:drawing>
              <wp:anchor distT="0" distB="0" distL="114300" distR="114300" simplePos="0" relativeHeight="251661312" behindDoc="0" locked="0" layoutInCell="1" allowOverlap="1">
                <wp:simplePos x="0" y="0"/>
                <wp:positionH relativeFrom="column">
                  <wp:posOffset>-292100</wp:posOffset>
                </wp:positionH>
                <wp:positionV relativeFrom="paragraph">
                  <wp:posOffset>8890</wp:posOffset>
                </wp:positionV>
                <wp:extent cx="5953125" cy="1828800"/>
                <wp:effectExtent l="4445" t="4445" r="5080" b="5080"/>
                <wp:wrapTopAndBottom/>
                <wp:docPr id="16" name="文本框 16"/>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CD3C5D2">
                            <w:pPr>
                              <w:rPr>
                                <w:rFonts w:hint="eastAsia"/>
                              </w:rPr>
                            </w:pPr>
                            <w:r>
                              <w:rPr>
                                <w:rFonts w:hint="eastAsia"/>
                              </w:rPr>
                              <w:t>-- 1. 创建具备完整字符集支持的系统专属数据库</w:t>
                            </w:r>
                          </w:p>
                          <w:p w14:paraId="7AAD0B20">
                            <w:pPr>
                              <w:rPr>
                                <w:rFonts w:hint="eastAsia"/>
                              </w:rPr>
                            </w:pPr>
                            <w:r>
                              <w:rPr>
                                <w:rFonts w:hint="eastAsia"/>
                              </w:rPr>
                              <w:t>CREATE DATABASE battery_soh_db CHARACTER</w:t>
                            </w:r>
                            <w:r>
                              <w:rPr>
                                <w:rFonts w:hint="eastAsia"/>
                                <w:lang w:val="en-US" w:eastAsia="zh-CN"/>
                              </w:rPr>
                              <w:t xml:space="preserve"> </w:t>
                            </w:r>
                            <w:r>
                              <w:rPr>
                                <w:rFonts w:hint="eastAsia"/>
                              </w:rPr>
                              <w:t>SET utf8mb4 COLLATE utf8mb4_unicode_ci;</w:t>
                            </w:r>
                          </w:p>
                          <w:p w14:paraId="3F547D27">
                            <w:pPr>
                              <w:rPr>
                                <w:rFonts w:hint="eastAsia"/>
                              </w:rPr>
                            </w:pPr>
                            <w:r>
                              <w:rPr>
                                <w:rFonts w:hint="eastAsia"/>
                              </w:rPr>
                              <w:t>-- 2. 切换至目标数据库</w:t>
                            </w:r>
                          </w:p>
                          <w:p w14:paraId="18023F37">
                            <w:pPr>
                              <w:rPr>
                                <w:rFonts w:hint="eastAsia"/>
                              </w:rPr>
                            </w:pPr>
                            <w:r>
                              <w:rPr>
                                <w:rFonts w:hint="eastAsia"/>
                              </w:rPr>
                              <w:t>USE battery_soh_db;</w:t>
                            </w:r>
                          </w:p>
                          <w:p w14:paraId="353401D0">
                            <w:pPr>
                              <w:rPr>
                                <w:rFonts w:hint="eastAsia"/>
                              </w:rPr>
                            </w:pPr>
                            <w:r>
                              <w:rPr>
                                <w:rFonts w:hint="eastAsia"/>
                              </w:rPr>
                              <w:t>-- 3. 导入 DDL 表结构与初始字典数据（在命令行执行）</w:t>
                            </w:r>
                          </w:p>
                          <w:p w14:paraId="5177C157">
                            <w:pPr>
                              <w:rPr>
                                <w:rFonts w:hint="eastAsia"/>
                              </w:rPr>
                            </w:pPr>
                            <w:r>
                              <w:rPr>
                                <w:rFonts w:hint="eastAsia"/>
                              </w:rPr>
                              <w:t>-- source /您的实际存放路径/unified_database_schema.sql;</w:t>
                            </w:r>
                          </w:p>
                          <w:p w14:paraId="29D52676">
                            <w:pPr>
                              <w:rPr>
                                <w:rFonts w:hint="eastAsia"/>
                              </w:rPr>
                            </w:pPr>
                            <w:r>
                              <w:rPr>
                                <w:rFonts w:hint="eastAsia"/>
                              </w:rPr>
                              <w:t>-- 4. 导入包含特征张量的演示数据集供预生产测试</w:t>
                            </w:r>
                          </w:p>
                          <w:p w14:paraId="6AE8007F">
                            <w:pPr>
                              <w:rPr>
                                <w:rFonts w:hint="eastAsia"/>
                              </w:rPr>
                            </w:pPr>
                            <w:r>
                              <w:rPr>
                                <w:rFonts w:hint="eastAsia"/>
                              </w:rPr>
                              <w:t>-- source /您的实际存放路径/demo_data.sql;</w:t>
                            </w:r>
                          </w:p>
                        </w:txbxContent>
                      </wps:txbx>
                      <wps:bodyPr wrap="square" upright="1">
                        <a:spAutoFit/>
                      </wps:bodyPr>
                    </wps:wsp>
                  </a:graphicData>
                </a:graphic>
              </wp:anchor>
            </w:drawing>
          </mc:Choice>
          <mc:Fallback>
            <w:pict>
              <v:shape id="_x0000_s1026" o:spid="_x0000_s1026" o:spt="202" type="#_x0000_t202" style="position:absolute;left:0pt;margin-left:-23pt;margin-top:0.7pt;height:144pt;width:468.75pt;mso-wrap-distance-bottom:0pt;mso-wrap-distance-top:0pt;z-index:251661312;mso-width-relative:page;mso-height-relative:page;" fillcolor="#FFFFFF" filled="t" stroked="t" coordsize="21600,21600" o:gfxdata="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l2&#10;zMjYAAAACQEAAA8AAAAAAAAAAQAgAAAAIgAAAGRycy9kb3ducmV2LnhtbFBLAQIUABQAAAAIAIdO&#10;4kB4QBGYIwIAAGEEAAAOAAAAAAAAAAEAIAAAACcBAABkcnMvZTJvRG9jLnhtbFBLBQYAAAAABgAG&#10;AFkBAAC8BQAAAAA=&#10;">
                <v:fill on="t" focussize="0,0"/>
                <v:stroke color="#000000" joinstyle="miter"/>
                <v:imagedata o:title=""/>
                <o:lock v:ext="edit" aspectratio="f"/>
                <v:textbox style="mso-fit-shape-to-text:t;">
                  <w:txbxContent>
                    <w:p w14:paraId="5CD3C5D2">
                      <w:pPr>
                        <w:rPr>
                          <w:rFonts w:hint="eastAsia"/>
                        </w:rPr>
                      </w:pPr>
                      <w:r>
                        <w:rPr>
                          <w:rFonts w:hint="eastAsia"/>
                        </w:rPr>
                        <w:t>-- 1. 创建具备完整字符集支持的系统专属数据库</w:t>
                      </w:r>
                    </w:p>
                    <w:p w14:paraId="7AAD0B20">
                      <w:pPr>
                        <w:rPr>
                          <w:rFonts w:hint="eastAsia"/>
                        </w:rPr>
                      </w:pPr>
                      <w:r>
                        <w:rPr>
                          <w:rFonts w:hint="eastAsia"/>
                        </w:rPr>
                        <w:t>CREATE DATABASE battery_soh_db CHARACTER</w:t>
                      </w:r>
                      <w:r>
                        <w:rPr>
                          <w:rFonts w:hint="eastAsia"/>
                          <w:lang w:val="en-US" w:eastAsia="zh-CN"/>
                        </w:rPr>
                        <w:t xml:space="preserve"> </w:t>
                      </w:r>
                      <w:r>
                        <w:rPr>
                          <w:rFonts w:hint="eastAsia"/>
                        </w:rPr>
                        <w:t>SET utf8mb4 COLLATE utf8mb4_unicode_ci;</w:t>
                      </w:r>
                    </w:p>
                    <w:p w14:paraId="3F547D27">
                      <w:pPr>
                        <w:rPr>
                          <w:rFonts w:hint="eastAsia"/>
                        </w:rPr>
                      </w:pPr>
                      <w:r>
                        <w:rPr>
                          <w:rFonts w:hint="eastAsia"/>
                        </w:rPr>
                        <w:t>-- 2. 切换至目标数据库</w:t>
                      </w:r>
                    </w:p>
                    <w:p w14:paraId="18023F37">
                      <w:pPr>
                        <w:rPr>
                          <w:rFonts w:hint="eastAsia"/>
                        </w:rPr>
                      </w:pPr>
                      <w:r>
                        <w:rPr>
                          <w:rFonts w:hint="eastAsia"/>
                        </w:rPr>
                        <w:t>USE battery_soh_db;</w:t>
                      </w:r>
                    </w:p>
                    <w:p w14:paraId="353401D0">
                      <w:pPr>
                        <w:rPr>
                          <w:rFonts w:hint="eastAsia"/>
                        </w:rPr>
                      </w:pPr>
                      <w:r>
                        <w:rPr>
                          <w:rFonts w:hint="eastAsia"/>
                        </w:rPr>
                        <w:t>-- 3. 导入 DDL 表结构与初始字典数据（在命令行执行）</w:t>
                      </w:r>
                    </w:p>
                    <w:p w14:paraId="5177C157">
                      <w:pPr>
                        <w:rPr>
                          <w:rFonts w:hint="eastAsia"/>
                        </w:rPr>
                      </w:pPr>
                      <w:r>
                        <w:rPr>
                          <w:rFonts w:hint="eastAsia"/>
                        </w:rPr>
                        <w:t>-- source /您的实际存放路径/unified_database_schema.sql;</w:t>
                      </w:r>
                    </w:p>
                    <w:p w14:paraId="29D52676">
                      <w:pPr>
                        <w:rPr>
                          <w:rFonts w:hint="eastAsia"/>
                        </w:rPr>
                      </w:pPr>
                      <w:r>
                        <w:rPr>
                          <w:rFonts w:hint="eastAsia"/>
                        </w:rPr>
                        <w:t>-- 4. 导入包含特征张量的演示数据集供预生产测试</w:t>
                      </w:r>
                    </w:p>
                    <w:p w14:paraId="6AE8007F">
                      <w:pPr>
                        <w:rPr>
                          <w:rFonts w:hint="eastAsia"/>
                        </w:rPr>
                      </w:pPr>
                      <w:r>
                        <w:rPr>
                          <w:rFonts w:hint="eastAsia"/>
                        </w:rPr>
                        <w:t>-- source /您的实际存放路径/demo_data.sql;</w:t>
                      </w:r>
                    </w:p>
                  </w:txbxContent>
                </v:textbox>
                <w10:wrap type="topAndBottom"/>
              </v:shape>
            </w:pict>
          </mc:Fallback>
        </mc:AlternateContent>
      </w:r>
    </w:p>
    <w:p w14:paraId="14FC3ED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 数据库连接配置</w:t>
      </w:r>
    </w:p>
    <w:p w14:paraId="6CCCA2B2">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-262890</wp:posOffset>
                </wp:positionH>
                <wp:positionV relativeFrom="paragraph">
                  <wp:posOffset>205740</wp:posOffset>
                </wp:positionV>
                <wp:extent cx="5953125" cy="1828800"/>
                <wp:effectExtent l="4445" t="4445" r="5080" b="5080"/>
                <wp:wrapTopAndBottom/>
                <wp:docPr id="17" name="文本框 17"/>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2528E09">
                            <w:pPr>
                              <w:rPr>
                                <w:rFonts w:hint="eastAsia"/>
                              </w:rPr>
                            </w:pPr>
                            <w:r>
                              <w:rPr>
                                <w:rFonts w:hint="eastAsia"/>
                              </w:rPr>
                              <w:t># MySQL 数据库连接池配置 (格式: 驱动://账号:密码@IP地址:端口/数据库名)</w:t>
                            </w:r>
                          </w:p>
                          <w:p w14:paraId="29071AB4">
                            <w:pPr>
                              <w:rPr>
                                <w:rFonts w:hint="eastAsia"/>
                              </w:rPr>
                            </w:pPr>
                            <w:r>
                              <w:rPr>
                                <w:rFonts w:hint="eastAsia"/>
                              </w:rPr>
                              <w:t>DATABASE_URL=mysql+pymysql://root:123456@localhost:3306/battery_soh_db</w:t>
                            </w:r>
                          </w:p>
                        </w:txbxContent>
                      </wps:txbx>
                      <wps:bodyPr wrap="square" upright="1">
                        <a:spAutoFit/>
                      </wps:bodyPr>
                    </wps:wsp>
                  </a:graphicData>
                </a:graphic>
              </wp:anchor>
            </w:drawing>
          </mc:Choice>
          <mc:Fallback>
            <w:pict>
              <v:shape id="_x0000_s1026" o:spid="_x0000_s1026" o:spt="202" type="#_x0000_t202" style="position:absolute;left:0pt;margin-left:-20.7pt;margin-top:16.2pt;height:144pt;width:468.75pt;mso-wrap-distance-bottom:0pt;mso-wrap-distance-top:0pt;z-index:251662336;mso-width-relative:page;mso-height-relative:page;" fillcolor="#FFFFFF" filled="t" stroked="t" coordsize="21600,21600" o:gfxdata="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c&#10;deEe2QAAAAoBAAAPAAAAAAAAAAEAIAAAACIAAABkcnMvZG93bnJldi54bWxQSwECFAAUAAAACACH&#10;TuJAUW/hkiMCAABhBAAADgAAAAAAAAABACAAAAAoAQAAZHJzL2Uyb0RvYy54bWxQSwUGAAAAAAYA&#10;BgBZAQAAvQUAAAAA&#10;">
                <v:fill on="t" focussize="0,0"/>
                <v:stroke color="#000000" joinstyle="miter"/>
                <v:imagedata o:title=""/>
                <o:lock v:ext="edit" aspectratio="f"/>
                <v:textbox style="mso-fit-shape-to-text:t;">
                  <w:txbxContent>
                    <w:p w14:paraId="52528E09">
                      <w:pPr>
                        <w:rPr>
                          <w:rFonts w:hint="eastAsia"/>
                        </w:rPr>
                      </w:pPr>
                      <w:r>
                        <w:rPr>
                          <w:rFonts w:hint="eastAsia"/>
                        </w:rPr>
                        <w:t># MySQL 数据库连接池配置 (格式: 驱动://账号:密码@IP地址:端口/数据库名)</w:t>
                      </w:r>
                    </w:p>
                    <w:p w14:paraId="29071AB4">
                      <w:pPr>
                        <w:rPr>
                          <w:rFonts w:hint="eastAsia"/>
                        </w:rPr>
                      </w:pPr>
                      <w:r>
                        <w:rPr>
                          <w:rFonts w:hint="eastAsia"/>
                        </w:rPr>
                        <w:t>DATABASE_URL=mysql+pymysql://root:123456@localhost:3306/battery_soh_db</w:t>
                      </w:r>
                    </w:p>
                  </w:txbxContent>
                </v:textbox>
                <w10:wrap type="topAndBottom"/>
              </v:shape>
            </w:pict>
          </mc:Fallback>
        </mc:AlternateContent>
      </w:r>
      <w:r>
        <w:rPr>
          <w:rFonts w:hint="eastAsia" w:ascii="宋体" w:hAnsi="宋体" w:eastAsia="宋体" w:cs="宋体"/>
          <w:sz w:val="21"/>
          <w:szCs w:val="21"/>
        </w:rPr>
        <w:t>在后端项目根目录下创建 .env 环境配置文件，并注入数据源连接字符串：</w:t>
      </w:r>
    </w:p>
    <w:p w14:paraId="226A71D8">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28" w:name="_Toc27797"/>
      <w:r>
        <w:rPr>
          <w:rFonts w:hint="eastAsia" w:ascii="黑体" w:hAnsi="黑体" w:eastAsia="黑体" w:cs="黑体"/>
          <w:sz w:val="24"/>
          <w:szCs w:val="24"/>
        </w:rPr>
        <w:t>4.3 后端服务部署</w:t>
      </w:r>
      <w:bookmarkEnd w:id="28"/>
    </w:p>
    <w:p w14:paraId="738E1FD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环境变量配置</w:t>
      </w:r>
    </w:p>
    <w:p w14:paraId="10ADC21B">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-199390</wp:posOffset>
                </wp:positionH>
                <wp:positionV relativeFrom="paragraph">
                  <wp:posOffset>203835</wp:posOffset>
                </wp:positionV>
                <wp:extent cx="5953125" cy="1828800"/>
                <wp:effectExtent l="4445" t="4445" r="5080" b="5080"/>
                <wp:wrapTopAndBottom/>
                <wp:docPr id="19" name="文本框 19"/>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6A02207">
                            <w:pPr>
                              <w:rPr>
                                <w:rFonts w:hint="eastAsia"/>
                              </w:rPr>
                            </w:pPr>
                            <w:r>
                              <w:rPr>
                                <w:rFonts w:hint="eastAsia"/>
                              </w:rPr>
                              <w:t># JWT 签名私钥（生产环境需通过系统内核生成随机强密码）</w:t>
                            </w:r>
                          </w:p>
                          <w:p w14:paraId="45415029">
                            <w:pPr>
                              <w:rPr>
                                <w:rFonts w:hint="eastAsia"/>
                              </w:rPr>
                            </w:pPr>
                            <w:r>
                              <w:rPr>
                                <w:rFonts w:hint="eastAsia"/>
                              </w:rPr>
                              <w:t>SECRET_KEY=your-secure-secret-key-for-jwt-token-generation</w:t>
                            </w:r>
                          </w:p>
                          <w:p w14:paraId="47109C16">
                            <w:pPr>
                              <w:rPr>
                                <w:rFonts w:hint="eastAsia"/>
                              </w:rPr>
                            </w:pPr>
                            <w:r>
                              <w:rPr>
                                <w:rFonts w:hint="eastAsia"/>
                              </w:rPr>
                              <w:t># 跨域 CORS 策略白名单（需包含 PC 端与小程序端的访问源）</w:t>
                            </w:r>
                          </w:p>
                          <w:p w14:paraId="0556AD35">
                            <w:pPr>
                              <w:rPr>
                                <w:rFonts w:hint="eastAsia"/>
                              </w:rPr>
                            </w:pPr>
                            <w:r>
                              <w:rPr>
                                <w:rFonts w:hint="eastAsia"/>
                              </w:rPr>
                              <w:t>CORS_ORIGINS=http://localhost:3000,http://localhost:5173</w:t>
                            </w:r>
                          </w:p>
                        </w:txbxContent>
                      </wps:txbx>
                      <wps:bodyPr wrap="square" upright="1">
                        <a:spAutoFit/>
                      </wps:bodyPr>
                    </wps:wsp>
                  </a:graphicData>
                </a:graphic>
              </wp:anchor>
            </w:drawing>
          </mc:Choice>
          <mc:Fallback>
            <w:pict>
              <v:shape id="_x0000_s1026" o:spid="_x0000_s1026" o:spt="202" type="#_x0000_t202" style="position:absolute;left:0pt;margin-left:-15.7pt;margin-top:16.05pt;height:144pt;width:468.75pt;mso-wrap-distance-bottom:0pt;mso-wrap-distance-top:0pt;z-index:251663360;mso-width-relative:page;mso-height-relative:page;" fillcolor="#FFFFFF" filled="t" stroked="t" coordsize="21600,21600" o:gfxdata="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Sa&#10;JwHYAAAACgEAAA8AAAAAAAAAAQAgAAAAIgAAAGRycy9kb3ducmV2LnhtbFBLAQIUABQAAAAIAIdO&#10;4kDv9ED7IwIAAGEEAAAOAAAAAAAAAAEAIAAAACcBAABkcnMvZTJvRG9jLnhtbFBLBQYAAAAABgAG&#10;AFkBAAC8BQAAAAA=&#10;">
                <v:fill on="t" focussize="0,0"/>
                <v:stroke color="#000000" joinstyle="miter"/>
                <v:imagedata o:title=""/>
                <o:lock v:ext="edit" aspectratio="f"/>
                <v:textbox style="mso-fit-shape-to-text:t;">
                  <w:txbxContent>
                    <w:p w14:paraId="66A02207">
                      <w:pPr>
                        <w:rPr>
                          <w:rFonts w:hint="eastAsia"/>
                        </w:rPr>
                      </w:pPr>
                      <w:r>
                        <w:rPr>
                          <w:rFonts w:hint="eastAsia"/>
                        </w:rPr>
                        <w:t># JWT 签名私钥（生产环境需通过系统内核生成随机强密码）</w:t>
                      </w:r>
                    </w:p>
                    <w:p w14:paraId="45415029">
                      <w:pPr>
                        <w:rPr>
                          <w:rFonts w:hint="eastAsia"/>
                        </w:rPr>
                      </w:pPr>
                      <w:r>
                        <w:rPr>
                          <w:rFonts w:hint="eastAsia"/>
                        </w:rPr>
                        <w:t>SECRET_KEY=your-secure-secret-key-for-jwt-token-generation</w:t>
                      </w:r>
                    </w:p>
                    <w:p w14:paraId="47109C16">
                      <w:pPr>
                        <w:rPr>
                          <w:rFonts w:hint="eastAsia"/>
                        </w:rPr>
                      </w:pPr>
                      <w:r>
                        <w:rPr>
                          <w:rFonts w:hint="eastAsia"/>
                        </w:rPr>
                        <w:t># 跨域 CORS 策略白名单（需包含 PC 端与小程序端的访问源）</w:t>
                      </w:r>
                    </w:p>
                    <w:p w14:paraId="0556AD35">
                      <w:pPr>
                        <w:rPr>
                          <w:rFonts w:hint="eastAsia"/>
                        </w:rPr>
                      </w:pPr>
                      <w:r>
                        <w:rPr>
                          <w:rFonts w:hint="eastAsia"/>
                        </w:rPr>
                        <w:t>CORS_ORIGINS=http://localhost:3000,http://localhost:5173</w:t>
                      </w:r>
                    </w:p>
                  </w:txbxContent>
                </v:textbox>
                <w10:wrap type="topAndBottom"/>
              </v:shape>
            </w:pict>
          </mc:Fallback>
        </mc:AlternateContent>
      </w:r>
      <w:r>
        <w:rPr>
          <w:rFonts w:hint="eastAsia" w:ascii="宋体" w:hAnsi="宋体" w:eastAsia="宋体" w:cs="宋体"/>
          <w:sz w:val="21"/>
          <w:szCs w:val="21"/>
        </w:rPr>
        <w:t>除数据库外，后端的运行时鉴权秘钥与跨域策略同样需要在 .env 文件中进行显式声明：</w:t>
      </w:r>
    </w:p>
    <w:p w14:paraId="7A2291B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 模型文件路径配置</w:t>
      </w:r>
    </w:p>
    <w:p w14:paraId="5368C2E0">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ascii="宋体" w:hAnsi="宋体" w:eastAsia="宋体" w:cs="宋体"/>
          <w:sz w:val="24"/>
          <w:szCs w:val="24"/>
        </w:rPr>
      </w:pPr>
      <w:r>
        <w:rPr>
          <w:rFonts w:hint="eastAsia" w:ascii="宋体" w:hAnsi="宋体" w:eastAsia="宋体" w:cs="宋体"/>
          <w:sz w:val="21"/>
          <w:szCs w:val="21"/>
        </w:rPr>
        <w:t>由于 PyTorch 深度学习权重文件体积过大，系统采用绝对路径直接从磁盘寻址加载。请编辑 backend/config.py 文件，将挂载路径修正为当前宿主机的真实物理地址：</w:t>
      </w:r>
    </w:p>
    <w:p w14:paraId="5325A52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mc:AlternateContent>
          <mc:Choice Requires="wps">
            <w:drawing>
              <wp:anchor distT="0" distB="0" distL="114300" distR="114300" simplePos="0" relativeHeight="251664384" behindDoc="0" locked="0" layoutInCell="1" allowOverlap="1">
                <wp:simplePos x="0" y="0"/>
                <wp:positionH relativeFrom="column">
                  <wp:posOffset>-200025</wp:posOffset>
                </wp:positionH>
                <wp:positionV relativeFrom="paragraph">
                  <wp:posOffset>70485</wp:posOffset>
                </wp:positionV>
                <wp:extent cx="5953125" cy="1828800"/>
                <wp:effectExtent l="4445" t="4445" r="5080" b="5080"/>
                <wp:wrapTopAndBottom/>
                <wp:docPr id="20" name="文本框 20"/>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84E0DF">
                            <w:pPr>
                              <w:rPr>
                                <w:rFonts w:hint="eastAsia"/>
                              </w:rPr>
                            </w:pPr>
                            <w:r>
                              <w:rPr>
                                <w:rFonts w:hint="eastAsia"/>
                              </w:rPr>
                              <w:t># 部署环境修正（请确保对应目录下已存放 BiLSTM 或 DeepHPM 的 .pth 文件）</w:t>
                            </w:r>
                          </w:p>
                          <w:p w14:paraId="0C3C19A0">
                            <w:pPr>
                              <w:rPr>
                                <w:rFonts w:hint="eastAsia"/>
                              </w:rPr>
                            </w:pPr>
                            <w:r>
                              <w:rPr>
                                <w:rFonts w:hint="eastAsia"/>
                              </w:rPr>
                              <w:t>MODEL_PATH = '/data/models/weights/bilstm_deephpm_v1.0.pth'</w:t>
                            </w:r>
                          </w:p>
                        </w:txbxContent>
                      </wps:txbx>
                      <wps:bodyPr wrap="square" upright="1">
                        <a:spAutoFit/>
                      </wps:bodyPr>
                    </wps:wsp>
                  </a:graphicData>
                </a:graphic>
              </wp:anchor>
            </w:drawing>
          </mc:Choice>
          <mc:Fallback>
            <w:pict>
              <v:shape id="_x0000_s1026" o:spid="_x0000_s1026" o:spt="202" type="#_x0000_t202" style="position:absolute;left:0pt;margin-left:-15.75pt;margin-top:5.55pt;height:144pt;width:468.75pt;mso-wrap-distance-bottom:0pt;mso-wrap-distance-top:0pt;z-index:251664384;mso-width-relative:page;mso-height-relative:page;" fillcolor="#FFFFFF" filled="t" stroked="t" coordsize="21600,21600" o:gfxdata="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VqG&#10;wtgAAAAKAQAADwAAAAAAAAABACAAAAAiAAAAZHJzL2Rvd25yZXYueG1sUEsBAhQAFAAAAAgAh07i&#10;QEsa+WEiAgAAYQQAAA4AAAAAAAAAAQAgAAAAJwEAAGRycy9lMm9Eb2MueG1sUEsFBgAAAAAGAAYA&#10;WQEAALsFAAAAAA==&#10;">
                <v:fill on="t" focussize="0,0"/>
                <v:stroke color="#000000" joinstyle="miter"/>
                <v:imagedata o:title=""/>
                <o:lock v:ext="edit" aspectratio="f"/>
                <v:textbox style="mso-fit-shape-to-text:t;">
                  <w:txbxContent>
                    <w:p w14:paraId="5384E0DF">
                      <w:pPr>
                        <w:rPr>
                          <w:rFonts w:hint="eastAsia"/>
                        </w:rPr>
                      </w:pPr>
                      <w:r>
                        <w:rPr>
                          <w:rFonts w:hint="eastAsia"/>
                        </w:rPr>
                        <w:t># 部署环境修正（请确保对应目录下已存放 BiLSTM 或 DeepHPM 的 .pth 文件）</w:t>
                      </w:r>
                    </w:p>
                    <w:p w14:paraId="0C3C19A0">
                      <w:pPr>
                        <w:rPr>
                          <w:rFonts w:hint="eastAsia"/>
                        </w:rPr>
                      </w:pPr>
                      <w:r>
                        <w:rPr>
                          <w:rFonts w:hint="eastAsia"/>
                        </w:rPr>
                        <w:t>MODEL_PATH = '/data/models/weights/bilstm_deephpm_v1.0.pth'</w:t>
                      </w:r>
                    </w:p>
                  </w:txbxContent>
                </v:textbox>
                <w10:wrap type="topAndBottom"/>
              </v:shape>
            </w:pict>
          </mc:Fallback>
        </mc:AlternateContent>
      </w:r>
      <w:r>
        <w:rPr>
          <w:rFonts w:hint="eastAsia" w:ascii="宋体" w:hAnsi="宋体" w:eastAsia="宋体" w:cs="宋体"/>
          <w:b/>
          <w:bCs/>
          <w:sz w:val="21"/>
          <w:szCs w:val="21"/>
        </w:rPr>
        <w:t>3. 启动后端服务</w:t>
      </w:r>
    </w:p>
    <w:p w14:paraId="193B417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ascii="宋体" w:hAnsi="宋体" w:eastAsia="宋体" w:cs="宋体"/>
          <w:sz w:val="24"/>
          <w:szCs w:val="24"/>
        </w:rPr>
      </w:pPr>
      <w:r>
        <w:rPr>
          <w:sz w:val="21"/>
        </w:rPr>
        <mc:AlternateContent>
          <mc:Choice Requires="wps">
            <w:drawing>
              <wp:anchor distT="0" distB="0" distL="114300" distR="114300" simplePos="0" relativeHeight="251665408" behindDoc="0" locked="0" layoutInCell="1" allowOverlap="1">
                <wp:simplePos x="0" y="0"/>
                <wp:positionH relativeFrom="column">
                  <wp:posOffset>-204470</wp:posOffset>
                </wp:positionH>
                <wp:positionV relativeFrom="paragraph">
                  <wp:posOffset>209550</wp:posOffset>
                </wp:positionV>
                <wp:extent cx="5953125" cy="1828800"/>
                <wp:effectExtent l="4445" t="4445" r="5080" b="5080"/>
                <wp:wrapTopAndBottom/>
                <wp:docPr id="21" name="文本框 21"/>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029A79B">
                            <w:pPr>
                              <w:rPr>
                                <w:rFonts w:hint="eastAsia"/>
                              </w:rPr>
                            </w:pPr>
                            <w:r>
                              <w:rPr>
                                <w:rFonts w:hint="eastAsia"/>
                              </w:rPr>
                              <w:t># 【方案一：开发/调试模式】 开启热重载与全量日志打印</w:t>
                            </w:r>
                          </w:p>
                          <w:p w14:paraId="306BC18D">
                            <w:pPr>
                              <w:rPr>
                                <w:rFonts w:hint="eastAsia"/>
                              </w:rPr>
                            </w:pPr>
                            <w:r>
                              <w:rPr>
                                <w:rFonts w:hint="eastAsia"/>
                              </w:rPr>
                              <w:t>uvicorn app:app --reload --host 0.0.0.0 --port 8000</w:t>
                            </w:r>
                          </w:p>
                          <w:p w14:paraId="779D7C38">
                            <w:pPr>
                              <w:rPr>
                                <w:rFonts w:hint="eastAsia"/>
                              </w:rPr>
                            </w:pPr>
                            <w:r>
                              <w:rPr>
                                <w:rFonts w:hint="eastAsia"/>
                              </w:rPr>
                              <w:t># 【方案二：生产环境模式】 启用 Gunicorn 进程守护与多 Worker 异步调度</w:t>
                            </w:r>
                          </w:p>
                          <w:p w14:paraId="53DE81BF">
                            <w:pPr>
                              <w:rPr>
                                <w:rFonts w:hint="eastAsia"/>
                              </w:rPr>
                            </w:pPr>
                            <w:r>
                              <w:rPr>
                                <w:rFonts w:hint="eastAsia"/>
                              </w:rPr>
                              <w:t>gunicorn app:app -w 4 -k uvicorn.workers.UvicornWorker -b 0.0.0.0:8000</w:t>
                            </w:r>
                          </w:p>
                        </w:txbxContent>
                      </wps:txbx>
                      <wps:bodyPr wrap="square" upright="1">
                        <a:spAutoFit/>
                      </wps:bodyPr>
                    </wps:wsp>
                  </a:graphicData>
                </a:graphic>
              </wp:anchor>
            </w:drawing>
          </mc:Choice>
          <mc:Fallback>
            <w:pict>
              <v:shape id="_x0000_s1026" o:spid="_x0000_s1026" o:spt="202" type="#_x0000_t202" style="position:absolute;left:0pt;margin-left:-16.1pt;margin-top:16.5pt;height:144pt;width:468.75pt;mso-wrap-distance-bottom:0pt;mso-wrap-distance-top:0pt;z-index:251665408;mso-width-relative:page;mso-height-relative:page;" fillcolor="#FFFFFF" filled="t" stroked="t" coordsize="21600,21600" o:gfxdata="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O&#10;C3Xn2AAAAAoBAAAPAAAAAAAAAAEAIAAAACIAAABkcnMvZG93bnJldi54bWxQSwECFAAUAAAACACH&#10;TuJAYjUJayQCAABhBAAADgAAAAAAAAABACAAAAAnAQAAZHJzL2Uyb0RvYy54bWxQSwUGAAAAAAYA&#10;BgBZAQAAvQUAAAAA&#10;">
                <v:fill on="t" focussize="0,0"/>
                <v:stroke color="#000000" joinstyle="miter"/>
                <v:imagedata o:title=""/>
                <o:lock v:ext="edit" aspectratio="f"/>
                <v:textbox style="mso-fit-shape-to-text:t;">
                  <w:txbxContent>
                    <w:p w14:paraId="4029A79B">
                      <w:pPr>
                        <w:rPr>
                          <w:rFonts w:hint="eastAsia"/>
                        </w:rPr>
                      </w:pPr>
                      <w:r>
                        <w:rPr>
                          <w:rFonts w:hint="eastAsia"/>
                        </w:rPr>
                        <w:t># 【方案一：开发/调试模式】 开启热重载与全量日志打印</w:t>
                      </w:r>
                    </w:p>
                    <w:p w14:paraId="306BC18D">
                      <w:pPr>
                        <w:rPr>
                          <w:rFonts w:hint="eastAsia"/>
                        </w:rPr>
                      </w:pPr>
                      <w:r>
                        <w:rPr>
                          <w:rFonts w:hint="eastAsia"/>
                        </w:rPr>
                        <w:t>uvicorn app:app --reload --host 0.0.0.0 --port 8000</w:t>
                      </w:r>
                    </w:p>
                    <w:p w14:paraId="779D7C38">
                      <w:pPr>
                        <w:rPr>
                          <w:rFonts w:hint="eastAsia"/>
                        </w:rPr>
                      </w:pPr>
                      <w:r>
                        <w:rPr>
                          <w:rFonts w:hint="eastAsia"/>
                        </w:rPr>
                        <w:t># 【方案二：生产环境模式】 启用 Gunicorn 进程守护与多 Worker 异步调度</w:t>
                      </w:r>
                    </w:p>
                    <w:p w14:paraId="53DE81BF">
                      <w:pPr>
                        <w:rPr>
                          <w:rFonts w:hint="eastAsia"/>
                        </w:rPr>
                      </w:pPr>
                      <w:r>
                        <w:rPr>
                          <w:rFonts w:hint="eastAsia"/>
                        </w:rPr>
                        <w:t>gunicorn app:app -w 4 -k uvicorn.workers.UvicornWorker -b 0.0.0.0:8000</w:t>
                      </w:r>
                    </w:p>
                  </w:txbxContent>
                </v:textbox>
                <w10:wrap type="topAndBottom"/>
              </v:shape>
            </w:pict>
          </mc:Fallback>
        </mc:AlternateContent>
      </w:r>
      <w:r>
        <w:rPr>
          <w:rFonts w:hint="eastAsia" w:ascii="宋体" w:hAnsi="宋体" w:eastAsia="宋体" w:cs="宋体"/>
          <w:sz w:val="21"/>
          <w:szCs w:val="21"/>
        </w:rPr>
        <w:t>后端提供开发态与生产态两种启动方案，视具体服务器环境而定：</w:t>
      </w:r>
    </w:p>
    <w:p w14:paraId="7FC57A23">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验证操作：服务启动后，通过浏览器访问 http://服务器IP:8000/docs，若成功渲染 Swagger 交互式 API 接口文档，即代表后端引擎就绪。</w:t>
      </w:r>
    </w:p>
    <w:p w14:paraId="22BDC87C">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29" w:name="_Toc5692"/>
      <w:r>
        <w:rPr>
          <w:rFonts w:hint="eastAsia" w:ascii="黑体" w:hAnsi="黑体" w:eastAsia="黑体" w:cs="黑体"/>
          <w:sz w:val="24"/>
          <w:szCs w:val="24"/>
        </w:rPr>
        <w:t>4.4 PC端前端部署</w:t>
      </w:r>
      <w:bookmarkEnd w:id="29"/>
    </w:p>
    <w:p w14:paraId="0A0DD2F0">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依赖拉取与环境配置</w:t>
      </w:r>
    </w:p>
    <w:p w14:paraId="4E0B5FB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mc:AlternateContent>
          <mc:Choice Requires="wps">
            <w:drawing>
              <wp:anchor distT="0" distB="0" distL="114300" distR="114300" simplePos="0" relativeHeight="251666432" behindDoc="0" locked="0" layoutInCell="1" allowOverlap="1">
                <wp:simplePos x="0" y="0"/>
                <wp:positionH relativeFrom="column">
                  <wp:posOffset>-275590</wp:posOffset>
                </wp:positionH>
                <wp:positionV relativeFrom="paragraph">
                  <wp:posOffset>204470</wp:posOffset>
                </wp:positionV>
                <wp:extent cx="5953125" cy="1828800"/>
                <wp:effectExtent l="4445" t="4445" r="5080" b="5080"/>
                <wp:wrapTopAndBottom/>
                <wp:docPr id="23" name="文本框 23"/>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BFBE438">
                            <w:pPr>
                              <w:rPr>
                                <w:rFonts w:hint="eastAsia"/>
                              </w:rPr>
                            </w:pPr>
                            <w:r>
                              <w:rPr>
                                <w:rFonts w:hint="eastAsia"/>
                              </w:rPr>
                              <w:t># 部署环境修正（请确保对应目录下已存放 BiLSTM 或 DeepHPM 的 .pth 文件）</w:t>
                            </w:r>
                          </w:p>
                          <w:p w14:paraId="6EAD1518">
                            <w:pPr>
                              <w:rPr>
                                <w:rFonts w:hint="eastAsia"/>
                              </w:rPr>
                            </w:pPr>
                            <w:r>
                              <w:rPr>
                                <w:rFonts w:hint="eastAsia"/>
                              </w:rPr>
                              <w:t>MODEL_PATH = '/data/models/weights/bilstm_deephpm_v1.0.pth'</w:t>
                            </w:r>
                          </w:p>
                        </w:txbxContent>
                      </wps:txbx>
                      <wps:bodyPr wrap="square" upright="1">
                        <a:spAutoFit/>
                      </wps:bodyPr>
                    </wps:wsp>
                  </a:graphicData>
                </a:graphic>
              </wp:anchor>
            </w:drawing>
          </mc:Choice>
          <mc:Fallback>
            <w:pict>
              <v:shape id="_x0000_s1026" o:spid="_x0000_s1026" o:spt="202" type="#_x0000_t202" style="position:absolute;left:0pt;margin-left:-21.7pt;margin-top:16.1pt;height:144pt;width:468.75pt;mso-wrap-distance-bottom:0pt;mso-wrap-distance-top:0pt;z-index:251666432;mso-width-relative:page;mso-height-relative:page;" fillcolor="#FFFFFF" filled="t" stroked="t" coordsize="21600,21600" o:gfxdata="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YVjDtkAAAAKAQAADwAAAAAAAAABACAAAAAiAAAAZHJzL2Rvd25yZXYueG1sUEsBAhQAFAAAAAgA&#10;h07iQDBr6X4kAgAAYQQAAA4AAAAAAAAAAQAgAAAAKAEAAGRycy9lMm9Eb2MueG1sUEsFBgAAAAAG&#10;AAYAWQEAAL4FAAAAAA==&#10;">
                <v:fill on="t" focussize="0,0"/>
                <v:stroke color="#000000" joinstyle="miter"/>
                <v:imagedata o:title=""/>
                <o:lock v:ext="edit" aspectratio="f"/>
                <v:textbox style="mso-fit-shape-to-text:t;">
                  <w:txbxContent>
                    <w:p w14:paraId="7BFBE438">
                      <w:pPr>
                        <w:rPr>
                          <w:rFonts w:hint="eastAsia"/>
                        </w:rPr>
                      </w:pPr>
                      <w:r>
                        <w:rPr>
                          <w:rFonts w:hint="eastAsia"/>
                        </w:rPr>
                        <w:t># 部署环境修正（请确保对应目录下已存放 BiLSTM 或 DeepHPM 的 .pth 文件）</w:t>
                      </w:r>
                    </w:p>
                    <w:p w14:paraId="6EAD1518">
                      <w:pPr>
                        <w:rPr>
                          <w:rFonts w:hint="eastAsia"/>
                        </w:rPr>
                      </w:pPr>
                      <w:r>
                        <w:rPr>
                          <w:rFonts w:hint="eastAsia"/>
                        </w:rPr>
                        <w:t>MODEL_PATH = '/data/models/weights/bilstm_deephpm_v1.0.pth'</w:t>
                      </w:r>
                    </w:p>
                  </w:txbxContent>
                </v:textbox>
                <w10:wrap type="topAndBottom"/>
              </v:shape>
            </w:pict>
          </mc:Fallback>
        </mc:AlternateContent>
      </w:r>
      <w:r>
        <w:rPr>
          <w:rFonts w:hint="eastAsia" w:ascii="宋体" w:hAnsi="宋体" w:eastAsia="宋体" w:cs="宋体"/>
          <w:b w:val="0"/>
          <w:bCs w:val="0"/>
          <w:sz w:val="21"/>
          <w:szCs w:val="21"/>
        </w:rPr>
        <w:t>进入frontend目录，通过Node.js包管理器拉取前端Vue3依赖库</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修改接口寻址地址：</w:t>
      </w:r>
    </w:p>
    <w:p w14:paraId="5C1EAB1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ascii="宋体" w:hAnsi="宋体" w:eastAsia="宋体" w:cs="宋体"/>
          <w:b/>
          <w:bCs/>
          <w:sz w:val="24"/>
          <w:szCs w:val="24"/>
        </w:rPr>
      </w:pPr>
      <w:r>
        <w:rPr>
          <w:rFonts w:hint="eastAsia" w:ascii="宋体" w:hAnsi="宋体" w:eastAsia="宋体" w:cs="宋体"/>
          <w:sz w:val="21"/>
          <w:szCs w:val="21"/>
        </w:rPr>
        <w:t>随后，定位至 src/services/api.ts 文件，配置网关地址：</w:t>
      </w:r>
    </w:p>
    <w:p w14:paraId="5FAD783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 启动与构建</w:t>
      </w:r>
    </w:p>
    <w:p w14:paraId="2DA3096B">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0" w:name="_Toc32344"/>
      <w:r>
        <w:rPr>
          <w:rFonts w:hint="eastAsia" w:ascii="黑体" w:hAnsi="黑体" w:eastAsia="黑体" w:cs="黑体"/>
          <w:sz w:val="24"/>
          <w:szCs w:val="24"/>
        </w:rPr>
        <mc:AlternateContent>
          <mc:Choice Requires="wps">
            <w:drawing>
              <wp:anchor distT="0" distB="0" distL="114300" distR="114300" simplePos="0" relativeHeight="251667456" behindDoc="0" locked="0" layoutInCell="1" allowOverlap="1">
                <wp:simplePos x="0" y="0"/>
                <wp:positionH relativeFrom="column">
                  <wp:posOffset>-287655</wp:posOffset>
                </wp:positionH>
                <wp:positionV relativeFrom="paragraph">
                  <wp:posOffset>43180</wp:posOffset>
                </wp:positionV>
                <wp:extent cx="5953125" cy="1828800"/>
                <wp:effectExtent l="4445" t="4445" r="5080" b="5080"/>
                <wp:wrapTopAndBottom/>
                <wp:docPr id="27" name="文本框 27"/>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0C9340">
                            <w:pPr>
                              <w:rPr>
                                <w:rFonts w:hint="eastAsia"/>
                              </w:rPr>
                            </w:pPr>
                            <w:r>
                              <w:rPr>
                                <w:rFonts w:hint="eastAsia"/>
                              </w:rPr>
                              <w:t># 开发模式：npm run dev，浏览器访问http://localhost:5173</w:t>
                            </w:r>
                          </w:p>
                          <w:p w14:paraId="5D949504">
                            <w:pPr>
                              <w:rPr>
                                <w:rFonts w:hint="eastAsia"/>
                              </w:rPr>
                            </w:pPr>
                            <w:r>
                              <w:rPr>
                                <w:rFonts w:hint="eastAsia"/>
                              </w:rPr>
                              <w:t># 生产构建：npm run build，生成的dist目录部署至Nginx</w:t>
                            </w:r>
                          </w:p>
                        </w:txbxContent>
                      </wps:txbx>
                      <wps:bodyPr wrap="square" upright="1">
                        <a:spAutoFit/>
                      </wps:bodyPr>
                    </wps:wsp>
                  </a:graphicData>
                </a:graphic>
              </wp:anchor>
            </w:drawing>
          </mc:Choice>
          <mc:Fallback>
            <w:pict>
              <v:shape id="_x0000_s1026" o:spid="_x0000_s1026" o:spt="202" type="#_x0000_t202" style="position:absolute;left:0pt;margin-left:-22.65pt;margin-top:3.4pt;height:144pt;width:468.75pt;mso-wrap-distance-bottom:0pt;mso-wrap-distance-top:0pt;z-index:251667456;mso-width-relative:page;mso-height-relative:page;" fillcolor="#FFFFFF" filled="t" stroked="t" coordsize="21600,21600" o:gfxdata="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s&#10;S5FF2QAAAAkBAAAPAAAAAAAAAAEAIAAAACIAAABkcnMvZG93bnJldi54bWxQSwECFAAUAAAACACH&#10;TuJAlNcpVSMCAABhBAAADgAAAAAAAAABACAAAAAoAQAAZHJzL2Uyb0RvYy54bWxQSwUGAAAAAAYA&#10;BgBZAQAAvQUAAAAA&#10;">
                <v:fill on="t" focussize="0,0"/>
                <v:stroke color="#000000" joinstyle="miter"/>
                <v:imagedata o:title=""/>
                <o:lock v:ext="edit" aspectratio="f"/>
                <v:textbox style="mso-fit-shape-to-text:t;">
                  <w:txbxContent>
                    <w:p w14:paraId="390C9340">
                      <w:pPr>
                        <w:rPr>
                          <w:rFonts w:hint="eastAsia"/>
                        </w:rPr>
                      </w:pPr>
                      <w:r>
                        <w:rPr>
                          <w:rFonts w:hint="eastAsia"/>
                        </w:rPr>
                        <w:t># 开发模式：npm run dev，浏览器访问http://localhost:5173</w:t>
                      </w:r>
                    </w:p>
                    <w:p w14:paraId="5D949504">
                      <w:pPr>
                        <w:rPr>
                          <w:rFonts w:hint="eastAsia"/>
                        </w:rPr>
                      </w:pPr>
                      <w:r>
                        <w:rPr>
                          <w:rFonts w:hint="eastAsia"/>
                        </w:rPr>
                        <w:t># 生产构建：npm run build，生成的dist目录部署至Nginx</w:t>
                      </w:r>
                    </w:p>
                  </w:txbxContent>
                </v:textbox>
                <w10:wrap type="topAndBottom"/>
              </v:shape>
            </w:pict>
          </mc:Fallback>
        </mc:AlternateContent>
      </w:r>
      <w:r>
        <w:rPr>
          <w:rFonts w:hint="eastAsia" w:ascii="黑体" w:hAnsi="黑体" w:eastAsia="黑体" w:cs="黑体"/>
          <w:sz w:val="24"/>
          <w:szCs w:val="24"/>
        </w:rPr>
        <w:t>4.5 小程序端部署</w:t>
      </w:r>
      <w:bookmarkEnd w:id="30"/>
    </w:p>
    <w:p w14:paraId="51AF75D0">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 项目导入</w:t>
      </w:r>
    </w:p>
    <w:p w14:paraId="5D58EF26">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（1）打开HBuilderX，选择『文件→导入→从本地目录导入』，选择uniapp项目文件夹</w:t>
      </w:r>
    </w:p>
    <w:p w14:paraId="57C59748">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（2）等待依赖安装</w:t>
      </w:r>
      <w:r>
        <w:rPr>
          <w:rFonts w:hint="eastAsia" w:cs="宋体"/>
          <w:sz w:val="21"/>
          <w:szCs w:val="21"/>
          <w:lang w:val="en-US" w:eastAsia="zh-CN"/>
        </w:rPr>
        <w:t>完成</w:t>
      </w:r>
    </w:p>
    <w:p w14:paraId="717D1C6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宋体"/>
          <w:b/>
          <w:bCs/>
          <w:sz w:val="21"/>
          <w:szCs w:val="21"/>
          <w:lang w:val="en-US" w:eastAsia="zh-CN"/>
        </w:rPr>
      </w:pPr>
      <w:r>
        <w:rPr>
          <w:rFonts w:hint="eastAsia" w:cs="宋体"/>
          <w:b/>
          <w:bCs/>
          <w:sz w:val="21"/>
          <w:szCs w:val="21"/>
          <w:lang w:val="en-US" w:eastAsia="zh-CN"/>
        </w:rPr>
        <w:t>2. API地址配置局域网/公网 API 寻址调整</w:t>
      </w:r>
    </w:p>
    <w:p w14:paraId="0F2A6205">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ascii="宋体" w:hAnsi="宋体" w:eastAsia="宋体" w:cs="宋体"/>
          <w:sz w:val="24"/>
          <w:szCs w:val="24"/>
        </w:rPr>
      </w:pPr>
      <w:r>
        <w:rPr>
          <w:rFonts w:hint="eastAsia" w:ascii="宋体" w:hAnsi="宋体" w:eastAsia="宋体" w:cs="宋体"/>
          <w:sz w:val="21"/>
          <w:szCs w:val="21"/>
        </w:rPr>
        <mc:AlternateContent>
          <mc:Choice Requires="wps">
            <w:drawing>
              <wp:anchor distT="0" distB="0" distL="114300" distR="114300" simplePos="0" relativeHeight="251668480" behindDoc="0" locked="0" layoutInCell="1" allowOverlap="1">
                <wp:simplePos x="0" y="0"/>
                <wp:positionH relativeFrom="column">
                  <wp:posOffset>-275590</wp:posOffset>
                </wp:positionH>
                <wp:positionV relativeFrom="paragraph">
                  <wp:posOffset>267335</wp:posOffset>
                </wp:positionV>
                <wp:extent cx="5953125" cy="1828800"/>
                <wp:effectExtent l="4445" t="4445" r="5080" b="5080"/>
                <wp:wrapTopAndBottom/>
                <wp:docPr id="28" name="文本框 28"/>
                <wp:cNvGraphicFramePr/>
                <a:graphic xmlns:a="http://schemas.openxmlformats.org/drawingml/2006/main">
                  <a:graphicData uri="http://schemas.microsoft.com/office/word/2010/wordprocessingShape">
                    <wps:wsp>
                      <wps:cNvSpPr txBox="1"/>
                      <wps:spPr>
                        <a:xfrm>
                          <a:off x="0" y="0"/>
                          <a:ext cx="5953125" cy="1828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509B3D6">
                            <w:pPr>
                              <w:rPr>
                                <w:rFonts w:hint="eastAsia"/>
                              </w:rPr>
                            </w:pPr>
                            <w:r>
                              <w:rPr>
                                <w:rFonts w:hint="eastAsia"/>
                              </w:rPr>
                              <w:t>// ⚠️ 注意：小程序端严禁使用 localhost，必须填写网卡局域网 IP 或公网域名</w:t>
                            </w:r>
                          </w:p>
                          <w:p w14:paraId="5CBB81B9">
                            <w:pPr>
                              <w:rPr>
                                <w:rFonts w:hint="eastAsia"/>
                              </w:rPr>
                            </w:pPr>
                            <w:r>
                              <w:rPr>
                                <w:rFonts w:hint="eastAsia"/>
                              </w:rPr>
                              <w:t>const BASE_URL = 'http://192.168.1.100:8000/api';</w:t>
                            </w:r>
                          </w:p>
                        </w:txbxContent>
                      </wps:txbx>
                      <wps:bodyPr wrap="square" upright="1">
                        <a:spAutoFit/>
                      </wps:bodyPr>
                    </wps:wsp>
                  </a:graphicData>
                </a:graphic>
              </wp:anchor>
            </w:drawing>
          </mc:Choice>
          <mc:Fallback>
            <w:pict>
              <v:shape id="_x0000_s1026" o:spid="_x0000_s1026" o:spt="202" type="#_x0000_t202" style="position:absolute;left:0pt;margin-left:-21.7pt;margin-top:21.05pt;height:144pt;width:468.75pt;mso-wrap-distance-bottom:0pt;mso-wrap-distance-top:0pt;z-index:251668480;mso-width-relative:page;mso-height-relative:page;" fillcolor="#FFFFFF" filled="t" stroked="t" coordsize="21600,21600" o:gfxdata="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o&#10;i0Ba2QAAAAoBAAAPAAAAAAAAAAEAIAAAACIAAABkcnMvZG93bnJldi54bWxQSwECFAAUAAAACACH&#10;TuJAA2N4NiMCAABhBAAADgAAAAAAAAABACAAAAAoAQAAZHJzL2Uyb0RvYy54bWxQSwUGAAAAAAYA&#10;BgBZAQAAvQUAAAAA&#10;">
                <v:fill on="t" focussize="0,0"/>
                <v:stroke color="#000000" joinstyle="miter"/>
                <v:imagedata o:title=""/>
                <o:lock v:ext="edit" aspectratio="f"/>
                <v:textbox style="mso-fit-shape-to-text:t;">
                  <w:txbxContent>
                    <w:p w14:paraId="6509B3D6">
                      <w:pPr>
                        <w:rPr>
                          <w:rFonts w:hint="eastAsia"/>
                        </w:rPr>
                      </w:pPr>
                      <w:r>
                        <w:rPr>
                          <w:rFonts w:hint="eastAsia"/>
                        </w:rPr>
                        <w:t>// ⚠️ 注意：小程序端严禁使用 localhost，必须填写网卡局域网 IP 或公网域名</w:t>
                      </w:r>
                    </w:p>
                    <w:p w14:paraId="5CBB81B9">
                      <w:pPr>
                        <w:rPr>
                          <w:rFonts w:hint="eastAsia"/>
                        </w:rPr>
                      </w:pPr>
                      <w:r>
                        <w:rPr>
                          <w:rFonts w:hint="eastAsia"/>
                        </w:rPr>
                        <w:t>const BASE_URL = 'http://192.168.1.100:8000/api';</w:t>
                      </w:r>
                    </w:p>
                  </w:txbxContent>
                </v:textbox>
                <w10:wrap type="topAndBottom"/>
              </v:shape>
            </w:pict>
          </mc:Fallback>
        </mc:AlternateContent>
      </w:r>
      <w:r>
        <w:rPr>
          <w:rFonts w:hint="eastAsia" w:ascii="宋体" w:hAnsi="宋体" w:eastAsia="宋体" w:cs="宋体"/>
          <w:sz w:val="21"/>
          <w:szCs w:val="21"/>
        </w:rPr>
        <w:t>与PC端同理，通过HBuilderX载入UniApp源码后，在api/index.ts中修正请求网关：</w:t>
      </w:r>
    </w:p>
    <w:p w14:paraId="678422B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若为最终发布上线，需事先登录【微信公众平台】，在“开发管理 -&gt; 服务器配置”中，将该后端域名加入 request 合法白名单，并强制启用 HTTPS 协议。</w:t>
      </w:r>
    </w:p>
    <w:p w14:paraId="060C25B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宋体"/>
          <w:b/>
          <w:bCs/>
          <w:sz w:val="21"/>
          <w:szCs w:val="21"/>
          <w:lang w:val="en-US" w:eastAsia="zh-CN"/>
        </w:rPr>
      </w:pPr>
      <w:r>
        <w:rPr>
          <w:rFonts w:hint="eastAsia" w:cs="宋体"/>
          <w:b/>
          <w:bCs/>
          <w:sz w:val="21"/>
          <w:szCs w:val="21"/>
          <w:lang w:val="en-US" w:eastAsia="zh-CN"/>
        </w:rPr>
        <w:t>3. 编译与调试</w:t>
      </w:r>
    </w:p>
    <w:p w14:paraId="093761E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（1）在HBuilderX顶部菜单选择『运行→运行到小程序模拟器→微信开发者工具』</w:t>
      </w:r>
    </w:p>
    <w:p w14:paraId="391F9676">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（2）微信开发者工具自动启动并加载编译后的代码</w:t>
      </w:r>
    </w:p>
    <w:p w14:paraId="2543525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（3）在开发者工具中点击『预览』或『真机调试』可在手机上测试</w:t>
      </w:r>
    </w:p>
    <w:p w14:paraId="4838CBD5">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宋体"/>
          <w:b/>
          <w:bCs/>
          <w:sz w:val="21"/>
          <w:szCs w:val="21"/>
          <w:lang w:val="en-US" w:eastAsia="zh-CN"/>
        </w:rPr>
      </w:pPr>
      <w:r>
        <w:rPr>
          <w:rFonts w:hint="eastAsia" w:cs="宋体"/>
          <w:b/>
          <w:bCs/>
          <w:sz w:val="21"/>
          <w:szCs w:val="21"/>
          <w:lang w:val="en-US" w:eastAsia="zh-CN"/>
        </w:rPr>
        <w:t>4. 发布上线</w:t>
      </w:r>
    </w:p>
    <w:p w14:paraId="5A02079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发布提审： 联调无误后，点击「发行」→「小程序-微信」生成优化后的独立代码包。随后在自动唤醒的微信开发者工具中，点击右上角「上传」，填入版本号与更新日志，即可至小程序后台提交上架审核。</w:t>
      </w:r>
    </w:p>
    <w:p w14:paraId="7EF8E890">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1" w:name="_Toc26940"/>
      <w:r>
        <w:rPr>
          <w:rFonts w:hint="eastAsia" w:ascii="黑体" w:hAnsi="黑体" w:eastAsia="黑体" w:cs="黑体"/>
          <w:sz w:val="24"/>
          <w:szCs w:val="24"/>
        </w:rPr>
        <w:t>4.6 系统使用说明</w:t>
      </w:r>
      <w:bookmarkEnd w:id="31"/>
    </w:p>
    <w:p w14:paraId="4406ABD1">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ascii="宋体" w:hAnsi="宋体" w:eastAsia="宋体" w:cs="宋体"/>
          <w:sz w:val="21"/>
          <w:szCs w:val="21"/>
        </w:rPr>
        <w:t>系统部署与初始化完成后，管理员与现场运维人员可按照以下流程进行系统的日常操作：</w:t>
      </w:r>
    </w:p>
    <w:p w14:paraId="4D35B6AB">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cs="宋体"/>
          <w:b/>
          <w:bCs/>
          <w:sz w:val="21"/>
          <w:szCs w:val="21"/>
          <w:lang w:val="en-US" w:eastAsia="zh-CN"/>
        </w:rPr>
      </w:pPr>
      <w:r>
        <w:rPr>
          <w:rFonts w:hint="eastAsia" w:cs="宋体"/>
          <w:b/>
          <w:bCs/>
          <w:sz w:val="21"/>
          <w:szCs w:val="21"/>
          <w:lang w:val="en-US" w:eastAsia="zh-CN"/>
        </w:rPr>
        <w:t>1.账号登录</w:t>
      </w:r>
    </w:p>
    <w:p w14:paraId="5D294645">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PC 端： 浏览器访问系统地址，在登录页输入默认管理员账号（admin / admin123）。为保障数据安全，首次登录后系统会要求用户重置密码。</w:t>
      </w:r>
    </w:p>
    <w:p w14:paraId="4BE94C4B">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cs="宋体"/>
          <w:b/>
          <w:bCs/>
          <w:sz w:val="21"/>
          <w:szCs w:val="21"/>
          <w:lang w:val="en-US" w:eastAsia="zh-CN"/>
        </w:rPr>
      </w:pPr>
      <w:r>
        <w:rPr>
          <w:rFonts w:hint="eastAsia" w:ascii="宋体" w:hAnsi="宋体" w:eastAsia="宋体" w:cs="宋体"/>
          <w:sz w:val="21"/>
          <w:szCs w:val="21"/>
        </w:rPr>
        <w:t>小程序端： 现场运维人员通过微信搜索“慧管电池”小程序，使用后台分配的工号或绑定的手机号进行授权登录。</w:t>
      </w:r>
    </w:p>
    <w:p w14:paraId="7705B0F6">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Chars="0"/>
        <w:jc w:val="left"/>
        <w:textAlignment w:val="auto"/>
        <w:rPr>
          <w:rFonts w:hint="eastAsia" w:cs="宋体"/>
          <w:b/>
          <w:bCs/>
          <w:sz w:val="21"/>
          <w:szCs w:val="21"/>
          <w:lang w:val="en-US" w:eastAsia="zh-CN"/>
        </w:rPr>
      </w:pPr>
      <w:r>
        <w:rPr>
          <w:rFonts w:hint="eastAsia" w:cs="宋体"/>
          <w:b/>
          <w:bCs/>
          <w:sz w:val="21"/>
          <w:szCs w:val="21"/>
          <w:lang w:val="en-US" w:eastAsia="zh-CN"/>
        </w:rPr>
        <w:t>2. 数据导入与模型管理</w:t>
      </w:r>
    </w:p>
    <w:p w14:paraId="5CA6C9E0">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数据导入： 进入「算法中台 → 数据管理」页面，点击上传包含电池历史运行数据的 CSV 文件，系统会自动解析数据并完成电池组的建档。</w:t>
      </w:r>
    </w:p>
    <w:p w14:paraId="444760BF">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模型训练（可选）： 进入「算法中台 → 算法训练」页面，当接入新批次的电池时，用户可以在此配置参数并启动新的模型训练任务，以保证预测的准确率。</w:t>
      </w:r>
    </w:p>
    <w:p w14:paraId="2C5EDC0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cs="宋体"/>
          <w:b/>
          <w:bCs/>
          <w:sz w:val="21"/>
          <w:szCs w:val="21"/>
          <w:lang w:val="en-US" w:eastAsia="zh-CN"/>
        </w:rPr>
        <w:t>3. 执行预测与告警查看</w:t>
      </w:r>
    </w:p>
    <w:p w14:paraId="6C600EFE">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执行预测： 进入「核心业务 → 电芯预测预警」页面，在列表中勾选需要检测的电池模组或电芯，选择对应的预测模型（如 BiLSTM 或 DeepHPM）并点击“开始预测”。后台将进行计算并输出 SOH 与 RUL 预测结果。</w:t>
      </w:r>
    </w:p>
    <w:p w14:paraId="0A732D81">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查看告警： 预测结束后，健康度低于安全阈值的电芯会自动生成告警记录。管理员可点击查看详情，系统会同步给出相应的处理建议。</w:t>
      </w:r>
    </w:p>
    <w:p w14:paraId="19E20C61">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cs="宋体"/>
          <w:b/>
          <w:bCs/>
          <w:sz w:val="21"/>
          <w:szCs w:val="21"/>
          <w:lang w:val="en-US" w:eastAsia="zh-CN"/>
        </w:rPr>
        <w:t>4. 工单派发与现场处理</w:t>
      </w:r>
    </w:p>
    <w:p w14:paraId="2A97EB94">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创建工单： 对于需要人工处理的异常告警，管理员点击“生成工单”。系统会结合故障设备的位置和外勤人员的工作状态，自动推荐并派发给合适的运维人员。</w:t>
      </w:r>
    </w:p>
    <w:p w14:paraId="667059BD">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现场处理： 运维人员在小程序端接收到工单后确认接单。到达现场后，通过扫码核对设备并进行维修操作。处理完毕后，拍摄现场照片并上传，点击“确认结单”即可完成整个流程。</w:t>
      </w:r>
    </w:p>
    <w:p w14:paraId="6569ED7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r>
        <w:rPr>
          <w:rFonts w:hint="eastAsia" w:cs="宋体"/>
          <w:b/>
          <w:bCs/>
          <w:sz w:val="21"/>
          <w:szCs w:val="21"/>
          <w:lang w:val="en-US" w:eastAsia="zh-CN"/>
        </w:rPr>
        <w:t>5. 减碳效益核算</w:t>
      </w:r>
    </w:p>
    <w:p w14:paraId="61F38239">
      <w:pPr>
        <w:keepNext w:val="0"/>
        <w:keepLines w:val="0"/>
        <w:pageBreakBefore w:val="0"/>
        <w:widowControl w:val="0"/>
        <w:numPr>
          <w:ilvl w:val="0"/>
          <w:numId w:val="7"/>
        </w:numPr>
        <w:kinsoku/>
        <w:wordWrap/>
        <w:overflowPunct/>
        <w:topLinePunct w:val="0"/>
        <w:autoSpaceDE/>
        <w:autoSpaceDN/>
        <w:bidi w:val="0"/>
        <w:adjustRightInd/>
        <w:snapToGrid/>
        <w:spacing w:line="276" w:lineRule="auto"/>
        <w:ind w:left="420" w:leftChars="0" w:hanging="42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计算与导出： 进入「核心业务 → 减碳核算」页面，在表单中输入储能柜的额定容量、电池类型和充放电次数等参数，系统会自动计算出该周期的“电池延寿减碳量”和“峰谷套利减碳量”。计算完成后，可一键导出 PDF 格式的核算报告。</w:t>
      </w:r>
    </w:p>
    <w:p w14:paraId="752B8647">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50421787">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787C484E">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45F88D31">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3B2CB6F6">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7132BD60">
      <w:pPr>
        <w:keepNext w:val="0"/>
        <w:keepLines w:val="0"/>
        <w:pageBreakBefore w:val="0"/>
        <w:widowControl w:val="0"/>
        <w:numPr>
          <w:ilvl w:val="0"/>
          <w:numId w:val="0"/>
        </w:numPr>
        <w:kinsoku/>
        <w:wordWrap/>
        <w:overflowPunct/>
        <w:topLinePunct w:val="0"/>
        <w:autoSpaceDE/>
        <w:autoSpaceDN/>
        <w:bidi w:val="0"/>
        <w:adjustRightInd/>
        <w:snapToGrid/>
        <w:spacing w:line="276" w:lineRule="auto"/>
        <w:jc w:val="left"/>
        <w:textAlignment w:val="auto"/>
        <w:rPr>
          <w:rFonts w:hint="eastAsia" w:ascii="宋体" w:hAnsi="宋体" w:eastAsia="宋体" w:cs="宋体"/>
          <w:sz w:val="21"/>
          <w:szCs w:val="21"/>
        </w:rPr>
      </w:pPr>
    </w:p>
    <w:p w14:paraId="2C986C0C">
      <w:pPr>
        <w:pStyle w:val="2"/>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32"/>
          <w:szCs w:val="32"/>
        </w:rPr>
      </w:pPr>
      <w:bookmarkStart w:id="32" w:name="_Toc1937"/>
      <w:r>
        <w:rPr>
          <w:rFonts w:hint="eastAsia" w:ascii="黑体" w:hAnsi="黑体" w:eastAsia="黑体" w:cs="黑体"/>
          <w:sz w:val="32"/>
          <w:szCs w:val="32"/>
        </w:rPr>
        <w:t>5 总结</w:t>
      </w:r>
      <w:bookmarkEnd w:id="32"/>
    </w:p>
    <w:p w14:paraId="621565BD">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3" w:name="_Toc30080"/>
      <w:r>
        <w:rPr>
          <w:rFonts w:hint="eastAsia" w:ascii="黑体" w:hAnsi="黑体" w:eastAsia="黑体" w:cs="黑体"/>
          <w:sz w:val="24"/>
          <w:szCs w:val="24"/>
        </w:rPr>
        <w:t>5.1 作品创意总结</w:t>
      </w:r>
      <w:bookmarkEnd w:id="33"/>
    </w:p>
    <w:p w14:paraId="29287B8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针对当前工商业储能行业在电池运维中面临的“状态监测颗粒度粗、寿命预测手段匮乏、环保经济效益难以量化”三大核心痛点，本系统“慧管电池”成功构建了从“底层数据感知、AI智能推演、工单自动流转到碳资产核算”的全生命周期闭环体系。</w:t>
      </w:r>
    </w:p>
    <w:p w14:paraId="56BC8B3F">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系统打破了传统的整柜均值粗放监测模式，首创了电芯级的高精度预测底座；在算法架构上，创造性地将深度学习（BiLSTM）的时序数据拟合能力与物理机理模型（DeepHPM）的边界约束相融合，在测试集上取得了 R² 达 0.943 的高置信度结果，有效克服了单一模型在面对未知复杂工况时泛化能力差的通病。</w:t>
      </w:r>
    </w:p>
    <w:p w14:paraId="0B52460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系统开辟了“物理延寿减碳”与“峰谷套利减碳”双维度量化计算引擎，将原本难以估算的隐性环保贡献转化为具体、可输出的数字化指标。这不仅切实赋能了使用企业的 ESG（环境、社会和公司治理）战略，更从根本上推动了储能电站运维从“事后被动抢修”向“事前主动防御”的机制转变。</w:t>
      </w:r>
    </w:p>
    <w:p w14:paraId="6369240F">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4" w:name="_Toc24346"/>
      <w:r>
        <w:rPr>
          <w:rFonts w:hint="eastAsia" w:ascii="黑体" w:hAnsi="黑体" w:eastAsia="黑体" w:cs="黑体"/>
          <w:sz w:val="24"/>
          <w:szCs w:val="24"/>
        </w:rPr>
        <w:t>5.2 开发实现总结</w:t>
      </w:r>
      <w:bookmarkEnd w:id="34"/>
    </w:p>
    <w:p w14:paraId="1FA36AC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在项目的具体研发与落地阶段，团队严格遵循了软件工程规范，成功克服了“高频时序并发”与“重度矩阵运算”并存的技术挑战，保障了系统的健壮性。</w:t>
      </w:r>
    </w:p>
    <w:p w14:paraId="6812B8A6">
      <w:pPr>
        <w:keepNext w:val="0"/>
        <w:keepLines w:val="0"/>
        <w:pageBreakBefore w:val="0"/>
        <w:widowControl w:val="0"/>
        <w:kinsoku/>
        <w:wordWrap/>
        <w:overflowPunct/>
        <w:topLinePunct w:val="0"/>
        <w:autoSpaceDE/>
        <w:autoSpaceDN/>
        <w:bidi w:val="0"/>
        <w:adjustRightInd/>
        <w:snapToGrid/>
        <w:spacing w:line="276" w:lineRule="auto"/>
        <w:ind w:firstLine="422" w:firstLineChars="200"/>
        <w:jc w:val="left"/>
        <w:textAlignment w:val="auto"/>
        <w:rPr>
          <w:rFonts w:hint="eastAsia" w:ascii="宋体" w:hAnsi="宋体" w:eastAsia="宋体" w:cs="宋体"/>
          <w:sz w:val="21"/>
          <w:szCs w:val="21"/>
        </w:rPr>
      </w:pPr>
      <w:r>
        <w:rPr>
          <w:rFonts w:hint="eastAsia" w:ascii="宋体" w:hAnsi="宋体" w:eastAsia="宋体" w:cs="宋体"/>
          <w:b/>
          <w:bCs/>
          <w:sz w:val="21"/>
          <w:szCs w:val="21"/>
        </w:rPr>
        <w:t>后端架构与算力隔离：</w:t>
      </w:r>
      <w:r>
        <w:rPr>
          <w:rFonts w:hint="eastAsia" w:ascii="宋体" w:hAnsi="宋体" w:eastAsia="宋体" w:cs="宋体"/>
          <w:sz w:val="21"/>
          <w:szCs w:val="21"/>
        </w:rPr>
        <w:t>系统采用了前后端彻底解耦的 B/S 模式。依托 FastAPI 异步非阻塞框架与 MySQL 8.0 关系型数据库，稳固承接了 8 维特征数据的海量吞吐；针对庞大的深度学习权重文件（.pth），设计了独立的本地文件系统挂载机制，通过后台任务（BackgroundTasks）确保了业务请求响应与 AI 密集计算进程的物理隔离，互不阻塞。</w:t>
      </w:r>
    </w:p>
    <w:p w14:paraId="620B79B4">
      <w:pPr>
        <w:keepNext w:val="0"/>
        <w:keepLines w:val="0"/>
        <w:pageBreakBefore w:val="0"/>
        <w:widowControl w:val="0"/>
        <w:kinsoku/>
        <w:wordWrap/>
        <w:overflowPunct/>
        <w:topLinePunct w:val="0"/>
        <w:autoSpaceDE/>
        <w:autoSpaceDN/>
        <w:bidi w:val="0"/>
        <w:adjustRightInd/>
        <w:snapToGrid/>
        <w:spacing w:line="276" w:lineRule="auto"/>
        <w:ind w:firstLine="422" w:firstLineChars="200"/>
        <w:jc w:val="left"/>
        <w:textAlignment w:val="auto"/>
        <w:rPr>
          <w:rFonts w:hint="eastAsia" w:ascii="宋体" w:hAnsi="宋体" w:eastAsia="宋体" w:cs="宋体"/>
          <w:sz w:val="21"/>
          <w:szCs w:val="21"/>
        </w:rPr>
      </w:pPr>
      <w:r>
        <w:rPr>
          <w:rFonts w:hint="eastAsia" w:ascii="宋体" w:hAnsi="宋体" w:eastAsia="宋体" w:cs="宋体"/>
          <w:b/>
          <w:bCs/>
          <w:sz w:val="21"/>
          <w:szCs w:val="21"/>
        </w:rPr>
        <w:t>端云协同与多端交互：</w:t>
      </w:r>
      <w:r>
        <w:rPr>
          <w:rFonts w:hint="eastAsia" w:ascii="宋体" w:hAnsi="宋体" w:eastAsia="宋体" w:cs="宋体"/>
          <w:sz w:val="21"/>
          <w:szCs w:val="21"/>
        </w:rPr>
        <w:t>基于 Vue3 生态与 ECharts 渲染引擎，为调度中心打造了无死角的数据可视化大屏与精细化的工单管理后台；同时，利用 UniApp 跨平台技术，为一线外勤人员量身定制了轻量化的小程序作业终端。</w:t>
      </w:r>
    </w:p>
    <w:p w14:paraId="2D24F44E">
      <w:pPr>
        <w:keepNext w:val="0"/>
        <w:keepLines w:val="0"/>
        <w:pageBreakBefore w:val="0"/>
        <w:widowControl w:val="0"/>
        <w:kinsoku/>
        <w:wordWrap/>
        <w:overflowPunct/>
        <w:topLinePunct w:val="0"/>
        <w:autoSpaceDE/>
        <w:autoSpaceDN/>
        <w:bidi w:val="0"/>
        <w:adjustRightInd/>
        <w:snapToGrid/>
        <w:spacing w:line="276" w:lineRule="auto"/>
        <w:ind w:firstLine="422" w:firstLineChars="200"/>
        <w:jc w:val="left"/>
        <w:textAlignment w:val="auto"/>
        <w:rPr>
          <w:rFonts w:hint="eastAsia" w:ascii="宋体" w:hAnsi="宋体" w:eastAsia="宋体" w:cs="宋体"/>
          <w:sz w:val="21"/>
          <w:szCs w:val="21"/>
        </w:rPr>
      </w:pPr>
      <w:r>
        <w:rPr>
          <w:rFonts w:hint="eastAsia" w:ascii="宋体" w:hAnsi="宋体" w:eastAsia="宋体" w:cs="宋体"/>
          <w:b/>
          <w:bCs/>
          <w:sz w:val="21"/>
          <w:szCs w:val="21"/>
        </w:rPr>
        <w:t>全链路数据一致性：</w:t>
      </w:r>
      <w:r>
        <w:rPr>
          <w:rFonts w:hint="eastAsia" w:ascii="宋体" w:hAnsi="宋体" w:eastAsia="宋体" w:cs="宋体"/>
          <w:sz w:val="21"/>
          <w:szCs w:val="21"/>
        </w:rPr>
        <w:t>依托标准化的 RESTful API 接口与 JWT 无状态安全鉴权机制，系统完美打通了“云端预警下发 - 现场扫码确认 - 照片归档回传”的数据链路。经过多轮严格的联合调试，系统在功能完整度、异常容错处理以及跨端协同体验上均达到了企业级 B 端应用的设计预期。</w:t>
      </w:r>
    </w:p>
    <w:p w14:paraId="0F37218D">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5" w:name="_Toc7562"/>
      <w:r>
        <w:rPr>
          <w:rFonts w:hint="eastAsia" w:ascii="黑体" w:hAnsi="黑体" w:eastAsia="黑体" w:cs="黑体"/>
          <w:sz w:val="24"/>
          <w:szCs w:val="24"/>
        </w:rPr>
        <w:t>5.3 改进方向</w:t>
      </w:r>
      <w:bookmarkEnd w:id="35"/>
    </w:p>
    <w:p w14:paraId="5C9F3B4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尽管系统已成功打通核心业务闭环，但在面向更复杂的真实生产环境时，仍具有以下改进空间：</w:t>
      </w:r>
    </w:p>
    <w:p w14:paraId="4E80B16E">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（1）边缘推理能力：将轻量化剪枝后的模型部署至边缘计算网关，支持弱网环境下的离线预测与数据缓存同步；</w:t>
      </w:r>
    </w:p>
    <w:p w14:paraId="3BA60249">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（2）联邦学习支持：引入联邦学习框架，支持跨企业协同建模，在保护数据隐私的前提下提升模型泛化能力；</w:t>
      </w:r>
    </w:p>
    <w:p w14:paraId="7CB3285B">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（3）预测性维护升级：基于长周期时序数据构建LSTM趋势预测模型，在故障发生前提前生成维保工单，实现真正的『预测性维护』；</w:t>
      </w:r>
    </w:p>
    <w:p w14:paraId="22ABBDF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（4）碳交易对接：与碳交易平台API对接，实现减碳量自动核证与碳资产交易，释放储能系统的绿色金融价值。</w:t>
      </w:r>
    </w:p>
    <w:p w14:paraId="70D2D0B0">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br w:type="page"/>
      </w:r>
    </w:p>
    <w:p w14:paraId="5D534257">
      <w:pPr>
        <w:pStyle w:val="2"/>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32"/>
          <w:szCs w:val="32"/>
        </w:rPr>
      </w:pPr>
      <w:bookmarkStart w:id="36" w:name="_Toc28725"/>
      <w:r>
        <w:rPr>
          <w:rFonts w:hint="eastAsia" w:ascii="黑体" w:hAnsi="黑体" w:eastAsia="黑体" w:cs="黑体"/>
          <w:sz w:val="32"/>
          <w:szCs w:val="32"/>
        </w:rPr>
        <w:t>6 附录</w:t>
      </w:r>
      <w:bookmarkEnd w:id="36"/>
    </w:p>
    <w:p w14:paraId="04DB6DA5">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7" w:name="_Toc3888"/>
      <w:r>
        <w:rPr>
          <w:rFonts w:hint="eastAsia" w:ascii="黑体" w:hAnsi="黑体" w:eastAsia="黑体" w:cs="黑体"/>
          <w:sz w:val="24"/>
          <w:szCs w:val="24"/>
        </w:rPr>
        <w:t>6.1 名词定义</w:t>
      </w:r>
      <w:bookmarkEnd w:id="37"/>
    </w:p>
    <w:p w14:paraId="6FFF9B42">
      <w:pPr>
        <w:pStyle w:val="8"/>
        <w:jc w:val="center"/>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名词定义表</w:t>
      </w:r>
    </w:p>
    <w:tbl>
      <w:tblPr>
        <w:tblStyle w:val="20"/>
        <w:tblW w:w="8522" w:type="dxa"/>
        <w:tblInd w:w="3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200"/>
        <w:gridCol w:w="2745"/>
        <w:gridCol w:w="4577"/>
      </w:tblGrid>
      <w:tr w14:paraId="4C9BE8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trPr>
        <w:tc>
          <w:tcPr>
            <w:tcW w:w="1200"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0930ACC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名词/缩写</w:t>
            </w:r>
          </w:p>
        </w:tc>
        <w:tc>
          <w:tcPr>
            <w:tcW w:w="2745"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15D732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英文全称</w:t>
            </w:r>
          </w:p>
        </w:tc>
        <w:tc>
          <w:tcPr>
            <w:tcW w:w="4576"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1F3AE63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说明</w:t>
            </w:r>
          </w:p>
        </w:tc>
      </w:tr>
      <w:tr w14:paraId="0C1D93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single" w:color="000000" w:sz="4" w:space="0"/>
              <w:left w:val="nil"/>
              <w:bottom w:val="nil"/>
              <w:right w:val="nil"/>
            </w:tcBorders>
            <w:noWrap w:val="0"/>
            <w:tcMar>
              <w:top w:w="80" w:type="dxa"/>
              <w:left w:w="120" w:type="dxa"/>
              <w:bottom w:w="80" w:type="dxa"/>
              <w:right w:w="120" w:type="dxa"/>
            </w:tcMar>
            <w:vAlign w:val="center"/>
          </w:tcPr>
          <w:p w14:paraId="2935D5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SOH</w:t>
            </w:r>
          </w:p>
        </w:tc>
        <w:tc>
          <w:tcPr>
            <w:tcW w:w="2745" w:type="dxa"/>
            <w:tcBorders>
              <w:top w:val="single" w:color="000000" w:sz="4" w:space="0"/>
              <w:left w:val="nil"/>
              <w:bottom w:val="nil"/>
              <w:right w:val="nil"/>
            </w:tcBorders>
            <w:noWrap w:val="0"/>
            <w:tcMar>
              <w:top w:w="80" w:type="dxa"/>
              <w:left w:w="120" w:type="dxa"/>
              <w:bottom w:w="80" w:type="dxa"/>
              <w:right w:w="120" w:type="dxa"/>
            </w:tcMar>
            <w:vAlign w:val="center"/>
          </w:tcPr>
          <w:p w14:paraId="0751EA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State of Health</w:t>
            </w:r>
          </w:p>
        </w:tc>
        <w:tc>
          <w:tcPr>
            <w:tcW w:w="4576" w:type="dxa"/>
            <w:tcBorders>
              <w:top w:val="single" w:color="000000" w:sz="4" w:space="0"/>
              <w:left w:val="nil"/>
              <w:bottom w:val="nil"/>
              <w:right w:val="nil"/>
            </w:tcBorders>
            <w:noWrap w:val="0"/>
            <w:tcMar>
              <w:top w:w="80" w:type="dxa"/>
              <w:left w:w="120" w:type="dxa"/>
              <w:bottom w:w="80" w:type="dxa"/>
              <w:right w:w="120" w:type="dxa"/>
            </w:tcMar>
            <w:vAlign w:val="center"/>
          </w:tcPr>
          <w:p w14:paraId="2D4D5F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电池健康状态，当前最大可用容量与额定容量的比值，反映电池老化程度</w:t>
            </w:r>
          </w:p>
        </w:tc>
      </w:tr>
      <w:tr w14:paraId="420D24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6C26B2E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RUL</w:t>
            </w:r>
          </w:p>
        </w:tc>
        <w:tc>
          <w:tcPr>
            <w:tcW w:w="2745" w:type="dxa"/>
            <w:tcBorders>
              <w:top w:val="nil"/>
              <w:left w:val="nil"/>
              <w:bottom w:val="nil"/>
              <w:right w:val="nil"/>
            </w:tcBorders>
            <w:noWrap w:val="0"/>
            <w:tcMar>
              <w:top w:w="80" w:type="dxa"/>
              <w:left w:w="120" w:type="dxa"/>
              <w:bottom w:w="80" w:type="dxa"/>
              <w:right w:w="120" w:type="dxa"/>
            </w:tcMar>
            <w:vAlign w:val="center"/>
          </w:tcPr>
          <w:p w14:paraId="07FE15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Remaining Useful Life</w:t>
            </w:r>
          </w:p>
        </w:tc>
        <w:tc>
          <w:tcPr>
            <w:tcW w:w="4576" w:type="dxa"/>
            <w:tcBorders>
              <w:top w:val="nil"/>
              <w:left w:val="nil"/>
              <w:bottom w:val="nil"/>
              <w:right w:val="nil"/>
            </w:tcBorders>
            <w:noWrap w:val="0"/>
            <w:tcMar>
              <w:top w:w="80" w:type="dxa"/>
              <w:left w:w="120" w:type="dxa"/>
              <w:bottom w:w="80" w:type="dxa"/>
              <w:right w:w="120" w:type="dxa"/>
            </w:tcMar>
            <w:vAlign w:val="center"/>
          </w:tcPr>
          <w:p w14:paraId="5B97A5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剩余使用寿命，电池从当前状态到失效（通常定义为SOH&lt;80%）前的剩余循环次数</w:t>
            </w:r>
          </w:p>
        </w:tc>
      </w:tr>
      <w:tr w14:paraId="6C565E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7F3E163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SOC</w:t>
            </w:r>
          </w:p>
        </w:tc>
        <w:tc>
          <w:tcPr>
            <w:tcW w:w="2745" w:type="dxa"/>
            <w:tcBorders>
              <w:top w:val="nil"/>
              <w:left w:val="nil"/>
              <w:bottom w:val="nil"/>
              <w:right w:val="nil"/>
            </w:tcBorders>
            <w:noWrap w:val="0"/>
            <w:tcMar>
              <w:top w:w="80" w:type="dxa"/>
              <w:left w:w="120" w:type="dxa"/>
              <w:bottom w:w="80" w:type="dxa"/>
              <w:right w:w="120" w:type="dxa"/>
            </w:tcMar>
            <w:vAlign w:val="center"/>
          </w:tcPr>
          <w:p w14:paraId="2AAD28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State of Charge</w:t>
            </w:r>
          </w:p>
        </w:tc>
        <w:tc>
          <w:tcPr>
            <w:tcW w:w="4576" w:type="dxa"/>
            <w:tcBorders>
              <w:top w:val="nil"/>
              <w:left w:val="nil"/>
              <w:bottom w:val="nil"/>
              <w:right w:val="nil"/>
            </w:tcBorders>
            <w:noWrap w:val="0"/>
            <w:tcMar>
              <w:top w:w="80" w:type="dxa"/>
              <w:left w:w="120" w:type="dxa"/>
              <w:bottom w:w="80" w:type="dxa"/>
              <w:right w:w="120" w:type="dxa"/>
            </w:tcMar>
            <w:vAlign w:val="center"/>
          </w:tcPr>
          <w:p w14:paraId="4C94C6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荷电状态，当前剩余电量与满电电量的比值，反映电池当前电量水平</w:t>
            </w:r>
          </w:p>
        </w:tc>
      </w:tr>
      <w:tr w14:paraId="101859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2D64C5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BiLSTM</w:t>
            </w:r>
          </w:p>
        </w:tc>
        <w:tc>
          <w:tcPr>
            <w:tcW w:w="2745" w:type="dxa"/>
            <w:tcBorders>
              <w:top w:val="nil"/>
              <w:left w:val="nil"/>
              <w:bottom w:val="nil"/>
              <w:right w:val="nil"/>
            </w:tcBorders>
            <w:noWrap w:val="0"/>
            <w:tcMar>
              <w:top w:w="80" w:type="dxa"/>
              <w:left w:w="120" w:type="dxa"/>
              <w:bottom w:w="80" w:type="dxa"/>
              <w:right w:w="120" w:type="dxa"/>
            </w:tcMar>
            <w:vAlign w:val="center"/>
          </w:tcPr>
          <w:p w14:paraId="07260BC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Bidirectional LSTM</w:t>
            </w:r>
          </w:p>
        </w:tc>
        <w:tc>
          <w:tcPr>
            <w:tcW w:w="4576" w:type="dxa"/>
            <w:tcBorders>
              <w:top w:val="nil"/>
              <w:left w:val="nil"/>
              <w:bottom w:val="nil"/>
              <w:right w:val="nil"/>
            </w:tcBorders>
            <w:noWrap w:val="0"/>
            <w:tcMar>
              <w:top w:w="80" w:type="dxa"/>
              <w:left w:w="120" w:type="dxa"/>
              <w:bottom w:w="80" w:type="dxa"/>
              <w:right w:w="120" w:type="dxa"/>
            </w:tcMar>
            <w:vAlign w:val="center"/>
          </w:tcPr>
          <w:p w14:paraId="761A5F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双向长短期记忆网络，同时从正向和反向处理序列数据，捕捉双向上下文依赖</w:t>
            </w:r>
          </w:p>
        </w:tc>
      </w:tr>
      <w:tr w14:paraId="57BE18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00AE75E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DeepHPM</w:t>
            </w:r>
          </w:p>
        </w:tc>
        <w:tc>
          <w:tcPr>
            <w:tcW w:w="2745" w:type="dxa"/>
            <w:tcBorders>
              <w:top w:val="nil"/>
              <w:left w:val="nil"/>
              <w:bottom w:val="nil"/>
              <w:right w:val="nil"/>
            </w:tcBorders>
            <w:noWrap w:val="0"/>
            <w:tcMar>
              <w:top w:w="80" w:type="dxa"/>
              <w:left w:w="120" w:type="dxa"/>
              <w:bottom w:w="80" w:type="dxa"/>
              <w:right w:w="120" w:type="dxa"/>
            </w:tcMar>
            <w:vAlign w:val="center"/>
          </w:tcPr>
          <w:p w14:paraId="2B1D2A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Deep Hybrid Physics Model</w:t>
            </w:r>
          </w:p>
        </w:tc>
        <w:tc>
          <w:tcPr>
            <w:tcW w:w="4576" w:type="dxa"/>
            <w:tcBorders>
              <w:top w:val="nil"/>
              <w:left w:val="nil"/>
              <w:bottom w:val="nil"/>
              <w:right w:val="nil"/>
            </w:tcBorders>
            <w:noWrap w:val="0"/>
            <w:tcMar>
              <w:top w:w="80" w:type="dxa"/>
              <w:left w:w="120" w:type="dxa"/>
              <w:bottom w:w="80" w:type="dxa"/>
              <w:right w:w="120" w:type="dxa"/>
            </w:tcMar>
            <w:vAlign w:val="center"/>
          </w:tcPr>
          <w:p w14:paraId="5CEA12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深度混合物理模型，将领域物理知识作为约束条件嵌入神经网络训练过程</w:t>
            </w:r>
          </w:p>
        </w:tc>
      </w:tr>
      <w:tr w14:paraId="118CEE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2C88610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BMS</w:t>
            </w:r>
          </w:p>
        </w:tc>
        <w:tc>
          <w:tcPr>
            <w:tcW w:w="2745" w:type="dxa"/>
            <w:tcBorders>
              <w:top w:val="nil"/>
              <w:left w:val="nil"/>
              <w:bottom w:val="nil"/>
              <w:right w:val="nil"/>
            </w:tcBorders>
            <w:noWrap w:val="0"/>
            <w:tcMar>
              <w:top w:w="80" w:type="dxa"/>
              <w:left w:w="120" w:type="dxa"/>
              <w:bottom w:w="80" w:type="dxa"/>
              <w:right w:w="120" w:type="dxa"/>
            </w:tcMar>
            <w:vAlign w:val="center"/>
          </w:tcPr>
          <w:p w14:paraId="79132B4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Battery Management System</w:t>
            </w:r>
          </w:p>
        </w:tc>
        <w:tc>
          <w:tcPr>
            <w:tcW w:w="4576" w:type="dxa"/>
            <w:tcBorders>
              <w:top w:val="nil"/>
              <w:left w:val="nil"/>
              <w:bottom w:val="nil"/>
              <w:right w:val="nil"/>
            </w:tcBorders>
            <w:noWrap w:val="0"/>
            <w:tcMar>
              <w:top w:w="80" w:type="dxa"/>
              <w:left w:w="120" w:type="dxa"/>
              <w:bottom w:w="80" w:type="dxa"/>
              <w:right w:w="120" w:type="dxa"/>
            </w:tcMar>
            <w:vAlign w:val="center"/>
          </w:tcPr>
          <w:p w14:paraId="2D6645C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电池管理系统，负责电池状态监测、保护控制、均衡管理等功能</w:t>
            </w:r>
          </w:p>
        </w:tc>
      </w:tr>
      <w:tr w14:paraId="3D0128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1CE7F7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SOP</w:t>
            </w:r>
          </w:p>
        </w:tc>
        <w:tc>
          <w:tcPr>
            <w:tcW w:w="2745" w:type="dxa"/>
            <w:tcBorders>
              <w:top w:val="nil"/>
              <w:left w:val="nil"/>
              <w:bottom w:val="nil"/>
              <w:right w:val="nil"/>
            </w:tcBorders>
            <w:noWrap w:val="0"/>
            <w:tcMar>
              <w:top w:w="80" w:type="dxa"/>
              <w:left w:w="120" w:type="dxa"/>
              <w:bottom w:w="80" w:type="dxa"/>
              <w:right w:w="120" w:type="dxa"/>
            </w:tcMar>
            <w:vAlign w:val="center"/>
          </w:tcPr>
          <w:p w14:paraId="6267B43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Standard Operating Procedure</w:t>
            </w:r>
          </w:p>
        </w:tc>
        <w:tc>
          <w:tcPr>
            <w:tcW w:w="4576" w:type="dxa"/>
            <w:tcBorders>
              <w:top w:val="nil"/>
              <w:left w:val="nil"/>
              <w:bottom w:val="nil"/>
              <w:right w:val="nil"/>
            </w:tcBorders>
            <w:noWrap w:val="0"/>
            <w:tcMar>
              <w:top w:w="80" w:type="dxa"/>
              <w:left w:w="120" w:type="dxa"/>
              <w:bottom w:w="80" w:type="dxa"/>
              <w:right w:w="120" w:type="dxa"/>
            </w:tcMar>
            <w:vAlign w:val="center"/>
          </w:tcPr>
          <w:p w14:paraId="4EDE518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标准作业程序，针对特定场景或问题的规范化处置流程与操作指南</w:t>
            </w:r>
          </w:p>
        </w:tc>
      </w:tr>
      <w:tr w14:paraId="5149D4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nil"/>
              <w:right w:val="nil"/>
            </w:tcBorders>
            <w:noWrap w:val="0"/>
            <w:tcMar>
              <w:top w:w="80" w:type="dxa"/>
              <w:left w:w="120" w:type="dxa"/>
              <w:bottom w:w="80" w:type="dxa"/>
              <w:right w:w="120" w:type="dxa"/>
            </w:tcMar>
            <w:vAlign w:val="center"/>
          </w:tcPr>
          <w:p w14:paraId="51BA633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MTTR</w:t>
            </w:r>
          </w:p>
        </w:tc>
        <w:tc>
          <w:tcPr>
            <w:tcW w:w="2745" w:type="dxa"/>
            <w:tcBorders>
              <w:top w:val="nil"/>
              <w:left w:val="nil"/>
              <w:bottom w:val="nil"/>
              <w:right w:val="nil"/>
            </w:tcBorders>
            <w:noWrap w:val="0"/>
            <w:tcMar>
              <w:top w:w="80" w:type="dxa"/>
              <w:left w:w="120" w:type="dxa"/>
              <w:bottom w:w="80" w:type="dxa"/>
              <w:right w:w="120" w:type="dxa"/>
            </w:tcMar>
            <w:vAlign w:val="center"/>
          </w:tcPr>
          <w:p w14:paraId="53EBAD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Mean Time To Repair</w:t>
            </w:r>
          </w:p>
        </w:tc>
        <w:tc>
          <w:tcPr>
            <w:tcW w:w="4576" w:type="dxa"/>
            <w:tcBorders>
              <w:top w:val="nil"/>
              <w:left w:val="nil"/>
              <w:bottom w:val="nil"/>
              <w:right w:val="nil"/>
            </w:tcBorders>
            <w:noWrap w:val="0"/>
            <w:tcMar>
              <w:top w:w="80" w:type="dxa"/>
              <w:left w:w="120" w:type="dxa"/>
              <w:bottom w:w="80" w:type="dxa"/>
              <w:right w:w="120" w:type="dxa"/>
            </w:tcMar>
            <w:vAlign w:val="center"/>
          </w:tcPr>
          <w:p w14:paraId="6D1B5B2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平均修复时间，从故障发现到修复完成的平均耗时，衡量运维效率的关键指标</w:t>
            </w:r>
          </w:p>
        </w:tc>
      </w:tr>
      <w:tr w14:paraId="4181F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1200" w:type="dxa"/>
            <w:tcBorders>
              <w:top w:val="nil"/>
              <w:left w:val="nil"/>
              <w:bottom w:val="single" w:color="000000" w:sz="12" w:space="0"/>
              <w:right w:val="nil"/>
            </w:tcBorders>
            <w:noWrap w:val="0"/>
            <w:tcMar>
              <w:top w:w="80" w:type="dxa"/>
              <w:left w:w="120" w:type="dxa"/>
              <w:bottom w:w="80" w:type="dxa"/>
              <w:right w:w="120" w:type="dxa"/>
            </w:tcMar>
            <w:vAlign w:val="center"/>
          </w:tcPr>
          <w:p w14:paraId="07637A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ESG</w:t>
            </w:r>
          </w:p>
        </w:tc>
        <w:tc>
          <w:tcPr>
            <w:tcW w:w="2745" w:type="dxa"/>
            <w:tcBorders>
              <w:top w:val="nil"/>
              <w:left w:val="nil"/>
              <w:bottom w:val="single" w:color="000000" w:sz="12" w:space="0"/>
              <w:right w:val="nil"/>
            </w:tcBorders>
            <w:noWrap w:val="0"/>
            <w:tcMar>
              <w:top w:w="80" w:type="dxa"/>
              <w:left w:w="120" w:type="dxa"/>
              <w:bottom w:w="80" w:type="dxa"/>
              <w:right w:w="120" w:type="dxa"/>
            </w:tcMar>
            <w:vAlign w:val="center"/>
          </w:tcPr>
          <w:p w14:paraId="194C70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Environmental, Social, Governance</w:t>
            </w:r>
          </w:p>
        </w:tc>
        <w:tc>
          <w:tcPr>
            <w:tcW w:w="4576" w:type="dxa"/>
            <w:tcBorders>
              <w:top w:val="nil"/>
              <w:left w:val="nil"/>
              <w:bottom w:val="single" w:color="000000" w:sz="12" w:space="0"/>
              <w:right w:val="nil"/>
            </w:tcBorders>
            <w:noWrap w:val="0"/>
            <w:tcMar>
              <w:top w:w="80" w:type="dxa"/>
              <w:left w:w="120" w:type="dxa"/>
              <w:bottom w:w="80" w:type="dxa"/>
              <w:right w:w="120" w:type="dxa"/>
            </w:tcMar>
            <w:vAlign w:val="center"/>
          </w:tcPr>
          <w:p w14:paraId="52A9D46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环境、社会与治理，企业可持续发展评价体系，减碳核算为环境维度的重要指标</w:t>
            </w:r>
          </w:p>
        </w:tc>
      </w:tr>
    </w:tbl>
    <w:p w14:paraId="4680860B">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8" w:name="_Toc27256"/>
      <w:r>
        <w:rPr>
          <w:rFonts w:hint="eastAsia" w:ascii="黑体" w:hAnsi="黑体" w:eastAsia="黑体" w:cs="黑体"/>
          <w:sz w:val="24"/>
          <w:szCs w:val="24"/>
        </w:rPr>
        <w:t>6.2 参考资料</w:t>
      </w:r>
      <w:bookmarkEnd w:id="38"/>
    </w:p>
    <w:p w14:paraId="594A6861">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[1] Severson K A, Attia P M, Jin N, et al. Data-driven prediction of battery cycle life before capacity degradation[J]. Nature Energy, 2019, 4(5): 383-391.</w:t>
      </w:r>
    </w:p>
    <w:p w14:paraId="6711AA8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[2] Hochreiter S, Schmidhuber J. Long short-term memory[J]. Neural Computation, 1997, 9(8): 1735-1780.</w:t>
      </w:r>
    </w:p>
    <w:p w14:paraId="295B263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[3] Raissi M, Perdikaris P, Karniadakis G E. Physics-informed neural networks: A deep learning framework for solving forward and inverse problems involving nonlinear partial differential equations[J]. Journal of Computational Physics, 2019, 378: 686-707.</w:t>
      </w:r>
    </w:p>
    <w:p w14:paraId="1CC09F52">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[4] 中国储能产业白皮书2025[R]. 中国化学与物理电源行业协会储能应用分会, 2025.</w:t>
      </w:r>
    </w:p>
    <w:p w14:paraId="04598D65">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[5] Vue.js官方文档[EB/OL]. https://vuejs.org/, 2024.</w:t>
      </w:r>
    </w:p>
    <w:p w14:paraId="1FF7DA68">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[6] FastAPI官方文档[EB/OL]. https://fastapi.tiangolo.com/, 2024.</w:t>
      </w:r>
    </w:p>
    <w:p w14:paraId="06EAAF9C">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[7] PyTorch官方文档[EB/OL]. https://pytorch.org/docs/, 2024.</w:t>
      </w:r>
    </w:p>
    <w:p w14:paraId="5DC6BEBC">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[8] DCloud. uni-app官方文档[EB/OL]. https://uniapp.dcloud.net.cn/, 2024.</w:t>
      </w:r>
    </w:p>
    <w:p w14:paraId="0A4B776B">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042FFA07">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490CD87A">
      <w:pPr>
        <w:keepNext w:val="0"/>
        <w:keepLines w:val="0"/>
        <w:pageBreakBefore w:val="0"/>
        <w:widowControl w:val="0"/>
        <w:kinsoku/>
        <w:wordWrap/>
        <w:overflowPunct/>
        <w:topLinePunct w:val="0"/>
        <w:autoSpaceDE/>
        <w:autoSpaceDN/>
        <w:bidi w:val="0"/>
        <w:adjustRightInd/>
        <w:snapToGrid/>
        <w:spacing w:line="276" w:lineRule="auto"/>
        <w:ind w:firstLine="420" w:firstLineChars="200"/>
        <w:jc w:val="left"/>
        <w:textAlignment w:val="auto"/>
        <w:rPr>
          <w:rFonts w:hint="eastAsia" w:ascii="宋体" w:hAnsi="宋体" w:eastAsia="宋体" w:cs="宋体"/>
          <w:sz w:val="21"/>
          <w:szCs w:val="21"/>
        </w:rPr>
      </w:pPr>
    </w:p>
    <w:p w14:paraId="63F830CD">
      <w:pPr>
        <w:pStyle w:val="3"/>
        <w:keepNext w:val="0"/>
        <w:keepLines w:val="0"/>
        <w:pageBreakBefore w:val="0"/>
        <w:widowControl/>
        <w:kinsoku/>
        <w:wordWrap/>
        <w:overflowPunct/>
        <w:topLinePunct w:val="0"/>
        <w:autoSpaceDE/>
        <w:autoSpaceDN/>
        <w:bidi w:val="0"/>
        <w:adjustRightInd/>
        <w:snapToGrid/>
        <w:spacing w:before="0" w:after="0" w:line="276" w:lineRule="auto"/>
        <w:textAlignment w:val="auto"/>
        <w:rPr>
          <w:rFonts w:hint="eastAsia" w:ascii="黑体" w:hAnsi="黑体" w:eastAsia="黑体" w:cs="黑体"/>
          <w:sz w:val="24"/>
          <w:szCs w:val="24"/>
        </w:rPr>
      </w:pPr>
      <w:bookmarkStart w:id="39" w:name="_Toc30826"/>
      <w:r>
        <w:rPr>
          <w:rFonts w:hint="eastAsia" w:ascii="黑体" w:hAnsi="黑体" w:eastAsia="黑体" w:cs="黑体"/>
          <w:sz w:val="24"/>
          <w:szCs w:val="24"/>
        </w:rPr>
        <w:t>6.3 源代码清单</w:t>
      </w:r>
      <w:bookmarkEnd w:id="39"/>
    </w:p>
    <w:p w14:paraId="1488F4FA">
      <w:pPr>
        <w:pStyle w:val="8"/>
        <w:jc w:val="center"/>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源代码清单</w:t>
      </w:r>
    </w:p>
    <w:tbl>
      <w:tblPr>
        <w:tblStyle w:val="20"/>
        <w:tblW w:w="8522" w:type="dxa"/>
        <w:tblInd w:w="3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3180"/>
        <w:gridCol w:w="5342"/>
      </w:tblGrid>
      <w:tr w14:paraId="0ACBEA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trPr>
        <w:tc>
          <w:tcPr>
            <w:tcW w:w="3178"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7857172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文件/目录</w:t>
            </w:r>
          </w:p>
        </w:tc>
        <w:tc>
          <w:tcPr>
            <w:tcW w:w="5344" w:type="dxa"/>
            <w:tcBorders>
              <w:top w:val="single" w:color="000000" w:sz="12" w:space="0"/>
              <w:left w:val="nil"/>
              <w:bottom w:val="nil"/>
              <w:right w:val="nil"/>
            </w:tcBorders>
            <w:shd w:val="clear" w:color="auto" w:fill="D9E2F3"/>
            <w:noWrap w:val="0"/>
            <w:tcMar>
              <w:top w:w="80" w:type="dxa"/>
              <w:left w:w="120" w:type="dxa"/>
              <w:bottom w:w="80" w:type="dxa"/>
              <w:right w:w="120" w:type="dxa"/>
            </w:tcMar>
            <w:vAlign w:val="center"/>
          </w:tcPr>
          <w:p w14:paraId="15A5037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说明</w:t>
            </w:r>
          </w:p>
        </w:tc>
      </w:tr>
      <w:tr w14:paraId="13ED02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single" w:color="000000" w:sz="4" w:space="0"/>
              <w:left w:val="nil"/>
              <w:bottom w:val="nil"/>
              <w:right w:val="nil"/>
            </w:tcBorders>
            <w:noWrap w:val="0"/>
            <w:tcMar>
              <w:top w:w="80" w:type="dxa"/>
              <w:left w:w="120" w:type="dxa"/>
              <w:bottom w:w="80" w:type="dxa"/>
              <w:right w:w="120" w:type="dxa"/>
            </w:tcMar>
            <w:vAlign w:val="center"/>
          </w:tcPr>
          <w:p w14:paraId="05CBE0B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frontend/</w:t>
            </w:r>
          </w:p>
        </w:tc>
        <w:tc>
          <w:tcPr>
            <w:tcW w:w="5344" w:type="dxa"/>
            <w:tcBorders>
              <w:top w:val="single" w:color="000000" w:sz="4" w:space="0"/>
              <w:left w:val="nil"/>
              <w:bottom w:val="nil"/>
              <w:right w:val="nil"/>
            </w:tcBorders>
            <w:noWrap w:val="0"/>
            <w:tcMar>
              <w:top w:w="80" w:type="dxa"/>
              <w:left w:w="120" w:type="dxa"/>
              <w:bottom w:w="80" w:type="dxa"/>
              <w:right w:w="120" w:type="dxa"/>
            </w:tcMar>
            <w:vAlign w:val="center"/>
          </w:tcPr>
          <w:p w14:paraId="64CDEA3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PC端前端源码（Vue3 + Element Plus + ECharts）</w:t>
            </w:r>
          </w:p>
        </w:tc>
      </w:tr>
      <w:tr w14:paraId="57738B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1D7B629E">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frontend/src/views/</w:t>
            </w:r>
          </w:p>
        </w:tc>
        <w:tc>
          <w:tcPr>
            <w:tcW w:w="5344" w:type="dxa"/>
            <w:tcBorders>
              <w:top w:val="nil"/>
              <w:left w:val="nil"/>
              <w:bottom w:val="nil"/>
              <w:right w:val="nil"/>
            </w:tcBorders>
            <w:noWrap w:val="0"/>
            <w:tcMar>
              <w:top w:w="80" w:type="dxa"/>
              <w:left w:w="120" w:type="dxa"/>
              <w:bottom w:w="80" w:type="dxa"/>
              <w:right w:w="120" w:type="dxa"/>
            </w:tcMar>
            <w:vAlign w:val="center"/>
          </w:tcPr>
          <w:p w14:paraId="0AAA76A5">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页面组件（Dashboard、Prediction、Carbon、WorkOrder等）</w:t>
            </w:r>
          </w:p>
        </w:tc>
      </w:tr>
      <w:tr w14:paraId="22CE82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23AA32A0">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frontend/src/components/</w:t>
            </w:r>
          </w:p>
        </w:tc>
        <w:tc>
          <w:tcPr>
            <w:tcW w:w="5344" w:type="dxa"/>
            <w:tcBorders>
              <w:top w:val="nil"/>
              <w:left w:val="nil"/>
              <w:bottom w:val="nil"/>
              <w:right w:val="nil"/>
            </w:tcBorders>
            <w:noWrap w:val="0"/>
            <w:tcMar>
              <w:top w:w="80" w:type="dxa"/>
              <w:left w:w="120" w:type="dxa"/>
              <w:bottom w:w="80" w:type="dxa"/>
              <w:right w:w="120" w:type="dxa"/>
            </w:tcMar>
            <w:vAlign w:val="center"/>
          </w:tcPr>
          <w:p w14:paraId="28555F13">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公共组件（图表、表格、表单、对话框等）</w:t>
            </w:r>
          </w:p>
        </w:tc>
      </w:tr>
      <w:tr w14:paraId="3C17E3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2F773DE7">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frontend/src/services/</w:t>
            </w:r>
          </w:p>
        </w:tc>
        <w:tc>
          <w:tcPr>
            <w:tcW w:w="5344" w:type="dxa"/>
            <w:tcBorders>
              <w:top w:val="nil"/>
              <w:left w:val="nil"/>
              <w:bottom w:val="nil"/>
              <w:right w:val="nil"/>
            </w:tcBorders>
            <w:noWrap w:val="0"/>
            <w:tcMar>
              <w:top w:w="80" w:type="dxa"/>
              <w:left w:w="120" w:type="dxa"/>
              <w:bottom w:w="80" w:type="dxa"/>
              <w:right w:w="120" w:type="dxa"/>
            </w:tcMar>
            <w:vAlign w:val="center"/>
          </w:tcPr>
          <w:p w14:paraId="7DCDEB99">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API请求封装与Axios拦截器配置</w:t>
            </w:r>
          </w:p>
        </w:tc>
      </w:tr>
      <w:tr w14:paraId="34C0FA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489CBF1C">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w:t>
            </w:r>
          </w:p>
        </w:tc>
        <w:tc>
          <w:tcPr>
            <w:tcW w:w="5344" w:type="dxa"/>
            <w:tcBorders>
              <w:top w:val="nil"/>
              <w:left w:val="nil"/>
              <w:bottom w:val="nil"/>
              <w:right w:val="nil"/>
            </w:tcBorders>
            <w:noWrap w:val="0"/>
            <w:tcMar>
              <w:top w:w="80" w:type="dxa"/>
              <w:left w:w="120" w:type="dxa"/>
              <w:bottom w:w="80" w:type="dxa"/>
              <w:right w:w="120" w:type="dxa"/>
            </w:tcMar>
            <w:vAlign w:val="center"/>
          </w:tcPr>
          <w:p w14:paraId="23804255">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后端服务源码（FastAPI + SQLAlchemy）</w:t>
            </w:r>
          </w:p>
        </w:tc>
      </w:tr>
      <w:tr w14:paraId="76C44C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77004316">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backend/app.py</w:t>
            </w:r>
          </w:p>
        </w:tc>
        <w:tc>
          <w:tcPr>
            <w:tcW w:w="5344" w:type="dxa"/>
            <w:tcBorders>
              <w:top w:val="nil"/>
              <w:left w:val="nil"/>
              <w:bottom w:val="nil"/>
              <w:right w:val="nil"/>
            </w:tcBorders>
            <w:noWrap w:val="0"/>
            <w:tcMar>
              <w:top w:w="80" w:type="dxa"/>
              <w:left w:w="120" w:type="dxa"/>
              <w:bottom w:w="80" w:type="dxa"/>
              <w:right w:w="120" w:type="dxa"/>
            </w:tcMar>
            <w:vAlign w:val="center"/>
          </w:tcPr>
          <w:p w14:paraId="5D53D30E">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FastAPI应用入口与路由注册</w:t>
            </w:r>
          </w:p>
        </w:tc>
      </w:tr>
      <w:tr w14:paraId="21AE2A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16EC419A">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backend/models/</w:t>
            </w:r>
          </w:p>
        </w:tc>
        <w:tc>
          <w:tcPr>
            <w:tcW w:w="5344" w:type="dxa"/>
            <w:tcBorders>
              <w:top w:val="nil"/>
              <w:left w:val="nil"/>
              <w:bottom w:val="nil"/>
              <w:right w:val="nil"/>
            </w:tcBorders>
            <w:noWrap w:val="0"/>
            <w:tcMar>
              <w:top w:w="80" w:type="dxa"/>
              <w:left w:w="120" w:type="dxa"/>
              <w:bottom w:w="80" w:type="dxa"/>
              <w:right w:w="120" w:type="dxa"/>
            </w:tcMar>
            <w:vAlign w:val="center"/>
          </w:tcPr>
          <w:p w14:paraId="6EEDA2A1">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SQLAlchemy ORM模型定义</w:t>
            </w:r>
          </w:p>
        </w:tc>
      </w:tr>
      <w:tr w14:paraId="62D46C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6525CF60">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backend/services/</w:t>
            </w:r>
          </w:p>
        </w:tc>
        <w:tc>
          <w:tcPr>
            <w:tcW w:w="5344" w:type="dxa"/>
            <w:tcBorders>
              <w:top w:val="nil"/>
              <w:left w:val="nil"/>
              <w:bottom w:val="nil"/>
              <w:right w:val="nil"/>
            </w:tcBorders>
            <w:noWrap w:val="0"/>
            <w:tcMar>
              <w:top w:w="80" w:type="dxa"/>
              <w:left w:w="120" w:type="dxa"/>
              <w:bottom w:w="80" w:type="dxa"/>
              <w:right w:w="120" w:type="dxa"/>
            </w:tcMar>
            <w:vAlign w:val="center"/>
          </w:tcPr>
          <w:p w14:paraId="31C623F9">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业务逻辑服务（预测、工单、减碳等）</w:t>
            </w:r>
          </w:p>
        </w:tc>
      </w:tr>
      <w:tr w14:paraId="463133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4F480F09">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backend/ai/bilstm_deephpm.py</w:t>
            </w:r>
          </w:p>
        </w:tc>
        <w:tc>
          <w:tcPr>
            <w:tcW w:w="5344" w:type="dxa"/>
            <w:tcBorders>
              <w:top w:val="nil"/>
              <w:left w:val="nil"/>
              <w:bottom w:val="nil"/>
              <w:right w:val="nil"/>
            </w:tcBorders>
            <w:noWrap w:val="0"/>
            <w:tcMar>
              <w:top w:w="80" w:type="dxa"/>
              <w:left w:w="120" w:type="dxa"/>
              <w:bottom w:w="80" w:type="dxa"/>
              <w:right w:w="120" w:type="dxa"/>
            </w:tcMar>
            <w:vAlign w:val="center"/>
          </w:tcPr>
          <w:p w14:paraId="3CB73435">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BiLSTM+DeepHPM混合神经网络模型定义</w:t>
            </w:r>
          </w:p>
        </w:tc>
      </w:tr>
      <w:tr w14:paraId="1B7EDD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2FAEA190">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backend/ai/inference.py</w:t>
            </w:r>
          </w:p>
        </w:tc>
        <w:tc>
          <w:tcPr>
            <w:tcW w:w="5344" w:type="dxa"/>
            <w:tcBorders>
              <w:top w:val="nil"/>
              <w:left w:val="nil"/>
              <w:bottom w:val="nil"/>
              <w:right w:val="nil"/>
            </w:tcBorders>
            <w:noWrap w:val="0"/>
            <w:tcMar>
              <w:top w:w="80" w:type="dxa"/>
              <w:left w:w="120" w:type="dxa"/>
              <w:bottom w:w="80" w:type="dxa"/>
              <w:right w:w="120" w:type="dxa"/>
            </w:tcMar>
            <w:vAlign w:val="center"/>
          </w:tcPr>
          <w:p w14:paraId="44A91FCC">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模型推理脚本，供子进程调用</w:t>
            </w:r>
          </w:p>
        </w:tc>
      </w:tr>
      <w:tr w14:paraId="256F55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1494A291">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backend/ai/train.py</w:t>
            </w:r>
          </w:p>
        </w:tc>
        <w:tc>
          <w:tcPr>
            <w:tcW w:w="5344" w:type="dxa"/>
            <w:tcBorders>
              <w:top w:val="nil"/>
              <w:left w:val="nil"/>
              <w:bottom w:val="nil"/>
              <w:right w:val="nil"/>
            </w:tcBorders>
            <w:noWrap w:val="0"/>
            <w:tcMar>
              <w:top w:w="80" w:type="dxa"/>
              <w:left w:w="120" w:type="dxa"/>
              <w:bottom w:w="80" w:type="dxa"/>
              <w:right w:w="120" w:type="dxa"/>
            </w:tcMar>
            <w:vAlign w:val="center"/>
          </w:tcPr>
          <w:p w14:paraId="0C2457B9">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模型训练脚本，含数据加载与评估逻辑</w:t>
            </w:r>
          </w:p>
        </w:tc>
      </w:tr>
      <w:tr w14:paraId="7BF46F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65238373">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uniapp/</w:t>
            </w:r>
          </w:p>
        </w:tc>
        <w:tc>
          <w:tcPr>
            <w:tcW w:w="5344" w:type="dxa"/>
            <w:tcBorders>
              <w:top w:val="nil"/>
              <w:left w:val="nil"/>
              <w:bottom w:val="nil"/>
              <w:right w:val="nil"/>
            </w:tcBorders>
            <w:noWrap w:val="0"/>
            <w:tcMar>
              <w:top w:w="80" w:type="dxa"/>
              <w:left w:w="120" w:type="dxa"/>
              <w:bottom w:w="80" w:type="dxa"/>
              <w:right w:w="120" w:type="dxa"/>
            </w:tcMar>
            <w:vAlign w:val="center"/>
          </w:tcPr>
          <w:p w14:paraId="79118ECE">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小程序端源码（UniApp + Vue3）</w:t>
            </w:r>
          </w:p>
        </w:tc>
      </w:tr>
      <w:tr w14:paraId="7C63A0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4D429CA8">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uniapp/pages/</w:t>
            </w:r>
          </w:p>
        </w:tc>
        <w:tc>
          <w:tcPr>
            <w:tcW w:w="5344" w:type="dxa"/>
            <w:tcBorders>
              <w:top w:val="nil"/>
              <w:left w:val="nil"/>
              <w:bottom w:val="nil"/>
              <w:right w:val="nil"/>
            </w:tcBorders>
            <w:noWrap w:val="0"/>
            <w:tcMar>
              <w:top w:w="80" w:type="dxa"/>
              <w:left w:w="120" w:type="dxa"/>
              <w:bottom w:w="80" w:type="dxa"/>
              <w:right w:w="120" w:type="dxa"/>
            </w:tcMar>
            <w:vAlign w:val="center"/>
          </w:tcPr>
          <w:p w14:paraId="650A3E2A">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小程序页面（首页、告警、工单、我的等）</w:t>
            </w:r>
          </w:p>
        </w:tc>
      </w:tr>
      <w:tr w14:paraId="6EFAC4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nil"/>
              <w:right w:val="nil"/>
            </w:tcBorders>
            <w:noWrap w:val="0"/>
            <w:tcMar>
              <w:top w:w="80" w:type="dxa"/>
              <w:left w:w="120" w:type="dxa"/>
              <w:bottom w:w="80" w:type="dxa"/>
              <w:right w:w="120" w:type="dxa"/>
            </w:tcMar>
            <w:vAlign w:val="center"/>
          </w:tcPr>
          <w:p w14:paraId="4F976EC9">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uniapp/api/</w:t>
            </w:r>
          </w:p>
        </w:tc>
        <w:tc>
          <w:tcPr>
            <w:tcW w:w="5344" w:type="dxa"/>
            <w:tcBorders>
              <w:top w:val="nil"/>
              <w:left w:val="nil"/>
              <w:bottom w:val="nil"/>
              <w:right w:val="nil"/>
            </w:tcBorders>
            <w:noWrap w:val="0"/>
            <w:tcMar>
              <w:top w:w="80" w:type="dxa"/>
              <w:left w:w="120" w:type="dxa"/>
              <w:bottom w:w="80" w:type="dxa"/>
              <w:right w:w="120" w:type="dxa"/>
            </w:tcMar>
            <w:vAlign w:val="center"/>
          </w:tcPr>
          <w:p w14:paraId="5435BE63">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API请求封装与uni.request配置</w:t>
            </w:r>
          </w:p>
        </w:tc>
      </w:tr>
      <w:tr w14:paraId="12E2C1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rPr>
        <w:tc>
          <w:tcPr>
            <w:tcW w:w="3178" w:type="dxa"/>
            <w:tcBorders>
              <w:top w:val="nil"/>
              <w:left w:val="nil"/>
              <w:bottom w:val="single" w:color="000000" w:sz="12" w:space="0"/>
              <w:right w:val="nil"/>
            </w:tcBorders>
            <w:noWrap w:val="0"/>
            <w:tcMar>
              <w:top w:w="80" w:type="dxa"/>
              <w:left w:w="120" w:type="dxa"/>
              <w:bottom w:w="80" w:type="dxa"/>
              <w:right w:w="120" w:type="dxa"/>
            </w:tcMar>
            <w:vAlign w:val="center"/>
          </w:tcPr>
          <w:p w14:paraId="1B09F67C">
            <w:pPr>
              <w:snapToGrid w:val="0"/>
              <w:ind w:left="0" w:leftChars="0" w:right="0" w:rightChars="0" w:firstLine="0" w:firstLineChars="0"/>
              <w:jc w:val="center"/>
              <w:rPr>
                <w:rFonts w:ascii="宋体" w:eastAsia="宋体"/>
                <w:sz w:val="21"/>
                <w:szCs w:val="21"/>
              </w:rPr>
            </w:pPr>
            <w:r>
              <w:rPr>
                <w:rFonts w:ascii="宋体" w:hAnsi="宋体" w:eastAsia="宋体" w:cs="宋体"/>
                <w:sz w:val="21"/>
                <w:szCs w:val="21"/>
              </w:rPr>
              <w:t>unified_database_schema.sql</w:t>
            </w:r>
          </w:p>
        </w:tc>
        <w:tc>
          <w:tcPr>
            <w:tcW w:w="5344" w:type="dxa"/>
            <w:tcBorders>
              <w:top w:val="nil"/>
              <w:left w:val="nil"/>
              <w:bottom w:val="single" w:color="000000" w:sz="12" w:space="0"/>
              <w:right w:val="nil"/>
            </w:tcBorders>
            <w:noWrap w:val="0"/>
            <w:tcMar>
              <w:top w:w="80" w:type="dxa"/>
              <w:left w:w="120" w:type="dxa"/>
              <w:bottom w:w="80" w:type="dxa"/>
              <w:right w:w="120" w:type="dxa"/>
            </w:tcMar>
            <w:vAlign w:val="center"/>
          </w:tcPr>
          <w:p w14:paraId="6281B9F9">
            <w:pPr>
              <w:snapToGrid w:val="0"/>
              <w:ind w:left="0" w:leftChars="0" w:right="0" w:rightChars="0" w:firstLine="0" w:firstLineChars="0"/>
              <w:jc w:val="left"/>
              <w:rPr>
                <w:rFonts w:ascii="宋体" w:eastAsia="宋体"/>
                <w:sz w:val="21"/>
                <w:szCs w:val="21"/>
              </w:rPr>
            </w:pPr>
            <w:r>
              <w:rPr>
                <w:rFonts w:ascii="宋体" w:hAnsi="宋体" w:eastAsia="宋体" w:cs="宋体"/>
                <w:sz w:val="21"/>
                <w:szCs w:val="21"/>
              </w:rPr>
              <w:t>数据库初始化脚本（建表与初始数据）</w:t>
            </w:r>
          </w:p>
        </w:tc>
      </w:tr>
    </w:tbl>
    <w:p w14:paraId="7CB4492A">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p>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Unicode">
    <w:panose1 w:val="020B0602030504020204"/>
    <w:charset w:val="00"/>
    <w:family w:val="swiss"/>
    <w:pitch w:val="default"/>
    <w:sig w:usb0="80001AFF" w:usb1="0000396B" w:usb2="00000000" w:usb3="00000000" w:csb0="200000BF" w:csb1="D7F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109A7">
    <w:pPr>
      <w:pStyle w:val="11"/>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4FE2FA">
                          <w:pPr>
                            <w:rPr>
                              <w:rStyle w:val="25"/>
                              <w:sz w:val="18"/>
                              <w:szCs w:val="18"/>
                            </w:rPr>
                          </w:pPr>
                          <w:r>
                            <w:rPr>
                              <w:rStyle w:val="25"/>
                              <w:sz w:val="18"/>
                              <w:szCs w:val="18"/>
                            </w:rPr>
                            <w:t xml:space="preserve">第 </w:t>
                          </w:r>
                          <w:r>
                            <w:rPr>
                              <w:rStyle w:val="25"/>
                              <w:sz w:val="18"/>
                              <w:szCs w:val="18"/>
                            </w:rPr>
                            <w:fldChar w:fldCharType="begin"/>
                          </w:r>
                          <w:r>
                            <w:rPr>
                              <w:rStyle w:val="25"/>
                              <w:sz w:val="18"/>
                              <w:szCs w:val="18"/>
                            </w:rPr>
                            <w:instrText xml:space="preserve"> PAGE  \* MERGEFORMAT </w:instrText>
                          </w:r>
                          <w:r>
                            <w:rPr>
                              <w:rStyle w:val="25"/>
                              <w:sz w:val="18"/>
                              <w:szCs w:val="18"/>
                            </w:rPr>
                            <w:fldChar w:fldCharType="separate"/>
                          </w:r>
                          <w:r>
                            <w:rPr>
                              <w:rStyle w:val="25"/>
                              <w:sz w:val="18"/>
                              <w:szCs w:val="18"/>
                            </w:rPr>
                            <w:t>1</w:t>
                          </w:r>
                          <w:r>
                            <w:rPr>
                              <w:rStyle w:val="25"/>
                              <w:sz w:val="18"/>
                              <w:szCs w:val="18"/>
                            </w:rPr>
                            <w:fldChar w:fldCharType="end"/>
                          </w:r>
                          <w:r>
                            <w:rPr>
                              <w:rStyle w:val="25"/>
                              <w:sz w:val="18"/>
                              <w:szCs w:val="18"/>
                            </w:rPr>
                            <w:t xml:space="preserve"> 页 共 </w:t>
                          </w:r>
                          <w:r>
                            <w:rPr>
                              <w:rStyle w:val="25"/>
                              <w:sz w:val="18"/>
                              <w:szCs w:val="18"/>
                            </w:rPr>
                            <w:fldChar w:fldCharType="begin"/>
                          </w:r>
                          <w:r>
                            <w:rPr>
                              <w:rStyle w:val="25"/>
                              <w:sz w:val="18"/>
                              <w:szCs w:val="18"/>
                            </w:rPr>
                            <w:instrText xml:space="preserve"> NUMPAGES  \* MERGEFORMAT </w:instrText>
                          </w:r>
                          <w:r>
                            <w:rPr>
                              <w:rStyle w:val="25"/>
                              <w:sz w:val="18"/>
                              <w:szCs w:val="18"/>
                            </w:rPr>
                            <w:fldChar w:fldCharType="separate"/>
                          </w:r>
                          <w:r>
                            <w:rPr>
                              <w:rStyle w:val="25"/>
                              <w:sz w:val="18"/>
                              <w:szCs w:val="18"/>
                            </w:rPr>
                            <w:t>28</w:t>
                          </w:r>
                          <w:r>
                            <w:rPr>
                              <w:rStyle w:val="25"/>
                              <w:sz w:val="18"/>
                              <w:szCs w:val="18"/>
                            </w:rPr>
                            <w:fldChar w:fldCharType="end"/>
                          </w:r>
                          <w:r>
                            <w:rPr>
                              <w:rStyle w:val="25"/>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B4FE2FA">
                    <w:pPr>
                      <w:rPr>
                        <w:rStyle w:val="25"/>
                        <w:sz w:val="18"/>
                        <w:szCs w:val="18"/>
                      </w:rPr>
                    </w:pPr>
                    <w:r>
                      <w:rPr>
                        <w:rStyle w:val="25"/>
                        <w:sz w:val="18"/>
                        <w:szCs w:val="18"/>
                      </w:rPr>
                      <w:t xml:space="preserve">第 </w:t>
                    </w:r>
                    <w:r>
                      <w:rPr>
                        <w:rStyle w:val="25"/>
                        <w:sz w:val="18"/>
                        <w:szCs w:val="18"/>
                      </w:rPr>
                      <w:fldChar w:fldCharType="begin"/>
                    </w:r>
                    <w:r>
                      <w:rPr>
                        <w:rStyle w:val="25"/>
                        <w:sz w:val="18"/>
                        <w:szCs w:val="18"/>
                      </w:rPr>
                      <w:instrText xml:space="preserve"> PAGE  \* MERGEFORMAT </w:instrText>
                    </w:r>
                    <w:r>
                      <w:rPr>
                        <w:rStyle w:val="25"/>
                        <w:sz w:val="18"/>
                        <w:szCs w:val="18"/>
                      </w:rPr>
                      <w:fldChar w:fldCharType="separate"/>
                    </w:r>
                    <w:r>
                      <w:rPr>
                        <w:rStyle w:val="25"/>
                        <w:sz w:val="18"/>
                        <w:szCs w:val="18"/>
                      </w:rPr>
                      <w:t>1</w:t>
                    </w:r>
                    <w:r>
                      <w:rPr>
                        <w:rStyle w:val="25"/>
                        <w:sz w:val="18"/>
                        <w:szCs w:val="18"/>
                      </w:rPr>
                      <w:fldChar w:fldCharType="end"/>
                    </w:r>
                    <w:r>
                      <w:rPr>
                        <w:rStyle w:val="25"/>
                        <w:sz w:val="18"/>
                        <w:szCs w:val="18"/>
                      </w:rPr>
                      <w:t xml:space="preserve"> 页 共 </w:t>
                    </w:r>
                    <w:r>
                      <w:rPr>
                        <w:rStyle w:val="25"/>
                        <w:sz w:val="18"/>
                        <w:szCs w:val="18"/>
                      </w:rPr>
                      <w:fldChar w:fldCharType="begin"/>
                    </w:r>
                    <w:r>
                      <w:rPr>
                        <w:rStyle w:val="25"/>
                        <w:sz w:val="18"/>
                        <w:szCs w:val="18"/>
                      </w:rPr>
                      <w:instrText xml:space="preserve"> NUMPAGES  \* MERGEFORMAT </w:instrText>
                    </w:r>
                    <w:r>
                      <w:rPr>
                        <w:rStyle w:val="25"/>
                        <w:sz w:val="18"/>
                        <w:szCs w:val="18"/>
                      </w:rPr>
                      <w:fldChar w:fldCharType="separate"/>
                    </w:r>
                    <w:r>
                      <w:rPr>
                        <w:rStyle w:val="25"/>
                        <w:sz w:val="18"/>
                        <w:szCs w:val="18"/>
                      </w:rPr>
                      <w:t>28</w:t>
                    </w:r>
                    <w:r>
                      <w:rPr>
                        <w:rStyle w:val="25"/>
                        <w:sz w:val="18"/>
                        <w:szCs w:val="18"/>
                      </w:rPr>
                      <w:fldChar w:fldCharType="end"/>
                    </w:r>
                    <w:r>
                      <w:rPr>
                        <w:rStyle w:val="25"/>
                        <w:sz w:val="18"/>
                        <w:szCs w:val="18"/>
                      </w:rPr>
                      <w:t xml:space="preserve"> 页</w:t>
                    </w:r>
                  </w:p>
                </w:txbxContent>
              </v:textbox>
            </v:shape>
          </w:pict>
        </mc:Fallback>
      </mc:AlternateContent>
    </w:r>
    <w:r>
      <w:rPr>
        <w:rFonts w:hint="eastAsia"/>
        <w:lang w:val="en-US" w:eastAsia="zh-CN"/>
      </w:rPr>
      <w:t xml:space="preserve">  </w:t>
    </w:r>
    <w:r>
      <w:rPr>
        <w:rFonts w:hint="eastAsia"/>
      </w:rPr>
      <w:t>个人作品，未经授权，不得外传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02D5C">
    <w:pPr>
      <w:pStyle w:val="12"/>
    </w:pPr>
    <w:r>
      <w:t>上海市计算机应用能力大赛</w:t>
    </w:r>
    <w:r>
      <w:tab/>
    </w:r>
    <w:r>
      <w:fldChar w:fldCharType="begin"/>
    </w:r>
    <w:r>
      <w:instrText xml:space="preserve"> TITLE  \* MERGEFORMAT </w:instrText>
    </w:r>
    <w:r>
      <w:fldChar w:fldCharType="separate"/>
    </w:r>
    <w:r>
      <w:rPr>
        <w:rFonts w:hint="eastAsia"/>
      </w:rPr>
      <w:t>设计说明书</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2AC685"/>
    <w:multiLevelType w:val="singleLevel"/>
    <w:tmpl w:val="C32AC685"/>
    <w:lvl w:ilvl="0" w:tentative="0">
      <w:start w:val="1"/>
      <w:numFmt w:val="decimal"/>
      <w:lvlText w:val="(%1)"/>
      <w:lvlJc w:val="left"/>
      <w:pPr>
        <w:ind w:left="425" w:hanging="425"/>
      </w:pPr>
      <w:rPr>
        <w:rFonts w:hint="default"/>
      </w:rPr>
    </w:lvl>
  </w:abstractNum>
  <w:abstractNum w:abstractNumId="1">
    <w:nsid w:val="E7596CC3"/>
    <w:multiLevelType w:val="singleLevel"/>
    <w:tmpl w:val="E7596CC3"/>
    <w:lvl w:ilvl="0" w:tentative="0">
      <w:start w:val="1"/>
      <w:numFmt w:val="bullet"/>
      <w:lvlText w:val=""/>
      <w:lvlJc w:val="left"/>
      <w:pPr>
        <w:ind w:left="58" w:hanging="420"/>
      </w:pPr>
      <w:rPr>
        <w:rFonts w:hint="default" w:ascii="Wingdings" w:hAnsi="Wingdings"/>
      </w:rPr>
    </w:lvl>
  </w:abstractNum>
  <w:abstractNum w:abstractNumId="2">
    <w:nsid w:val="E97586B5"/>
    <w:multiLevelType w:val="singleLevel"/>
    <w:tmpl w:val="E97586B5"/>
    <w:lvl w:ilvl="0" w:tentative="0">
      <w:start w:val="1"/>
      <w:numFmt w:val="decimal"/>
      <w:lvlText w:val="(%1)"/>
      <w:lvlJc w:val="left"/>
      <w:pPr>
        <w:ind w:left="425" w:hanging="425"/>
      </w:pPr>
      <w:rPr>
        <w:rFonts w:hint="default"/>
      </w:rPr>
    </w:lvl>
  </w:abstractNum>
  <w:abstractNum w:abstractNumId="3">
    <w:nsid w:val="F9ECFC72"/>
    <w:multiLevelType w:val="singleLevel"/>
    <w:tmpl w:val="F9ECFC72"/>
    <w:lvl w:ilvl="0" w:tentative="0">
      <w:start w:val="1"/>
      <w:numFmt w:val="decimal"/>
      <w:lvlText w:val="(%1)"/>
      <w:lvlJc w:val="left"/>
      <w:pPr>
        <w:ind w:left="425" w:hanging="425"/>
      </w:pPr>
      <w:rPr>
        <w:rFonts w:hint="default"/>
      </w:rPr>
    </w:lvl>
  </w:abstractNum>
  <w:abstractNum w:abstractNumId="4">
    <w:nsid w:val="169B1EA0"/>
    <w:multiLevelType w:val="singleLevel"/>
    <w:tmpl w:val="169B1EA0"/>
    <w:lvl w:ilvl="0" w:tentative="0">
      <w:start w:val="1"/>
      <w:numFmt w:val="bullet"/>
      <w:lvlText w:val=""/>
      <w:lvlJc w:val="left"/>
      <w:pPr>
        <w:ind w:left="420" w:hanging="420"/>
      </w:pPr>
      <w:rPr>
        <w:rFonts w:hint="default" w:ascii="Wingdings" w:hAnsi="Wingdings"/>
      </w:rPr>
    </w:lvl>
  </w:abstractNum>
  <w:abstractNum w:abstractNumId="5">
    <w:nsid w:val="189F8D0D"/>
    <w:multiLevelType w:val="singleLevel"/>
    <w:tmpl w:val="189F8D0D"/>
    <w:lvl w:ilvl="0" w:tentative="0">
      <w:start w:val="1"/>
      <w:numFmt w:val="bullet"/>
      <w:lvlText w:val=""/>
      <w:lvlJc w:val="left"/>
      <w:pPr>
        <w:ind w:left="420" w:hanging="420"/>
      </w:pPr>
      <w:rPr>
        <w:rFonts w:hint="default" w:ascii="Wingdings" w:hAnsi="Wingdings"/>
      </w:rPr>
    </w:lvl>
  </w:abstractNum>
  <w:abstractNum w:abstractNumId="6">
    <w:nsid w:val="3E522608"/>
    <w:multiLevelType w:val="singleLevel"/>
    <w:tmpl w:val="3E522608"/>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3"/>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FFC7F9E"/>
    <w:rsid w:val="12BB58E4"/>
    <w:rsid w:val="18AC1C2C"/>
    <w:rsid w:val="19632832"/>
    <w:rsid w:val="1B1707A2"/>
    <w:rsid w:val="321E77E6"/>
    <w:rsid w:val="36E80ECA"/>
    <w:rsid w:val="3DF233A6"/>
    <w:rsid w:val="3EA5055F"/>
    <w:rsid w:val="43F70BA8"/>
    <w:rsid w:val="45480B78"/>
    <w:rsid w:val="4A7472DD"/>
    <w:rsid w:val="521F3DAB"/>
    <w:rsid w:val="5C433822"/>
    <w:rsid w:val="5E6F6B50"/>
    <w:rsid w:val="5EDD593D"/>
    <w:rsid w:val="6294085A"/>
    <w:rsid w:val="62CA67E9"/>
    <w:rsid w:val="66426271"/>
    <w:rsid w:val="693D0C00"/>
    <w:rsid w:val="70067B6E"/>
    <w:rsid w:val="793665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240" w:after="120"/>
      <w:outlineLvl w:val="0"/>
    </w:pPr>
    <w:rPr>
      <w:rFonts w:ascii="黑体" w:hAnsi="黑体" w:eastAsia="黑体" w:cs="黑体"/>
      <w:b/>
      <w:bCs/>
      <w:sz w:val="32"/>
      <w:szCs w:val="32"/>
    </w:rPr>
  </w:style>
  <w:style w:type="paragraph" w:styleId="3">
    <w:name w:val="heading 2"/>
    <w:next w:val="1"/>
    <w:qFormat/>
    <w:uiPriority w:val="0"/>
    <w:pPr>
      <w:spacing w:before="200" w:after="100"/>
      <w:outlineLvl w:val="1"/>
    </w:pPr>
    <w:rPr>
      <w:rFonts w:ascii="黑体" w:hAnsi="黑体" w:eastAsia="黑体" w:cs="黑体"/>
      <w:b/>
      <w:bCs/>
      <w:sz w:val="28"/>
      <w:szCs w:val="28"/>
    </w:rPr>
  </w:style>
  <w:style w:type="paragraph" w:styleId="4">
    <w:name w:val="heading 3"/>
    <w:next w:val="1"/>
    <w:qFormat/>
    <w:uiPriority w:val="0"/>
    <w:pPr>
      <w:spacing w:before="160" w:after="8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toc 3"/>
    <w:basedOn w:val="1"/>
    <w:next w:val="1"/>
    <w:qFormat/>
    <w:uiPriority w:val="39"/>
    <w:pPr>
      <w:ind w:left="840" w:leftChars="400"/>
    </w:pPr>
  </w:style>
  <w:style w:type="paragraph" w:styleId="10">
    <w:name w:val="endnote text"/>
    <w:link w:val="32"/>
    <w:semiHidden/>
    <w:unhideWhenUsed/>
    <w:qFormat/>
    <w:uiPriority w:val="99"/>
    <w:pPr>
      <w:spacing w:after="0" w:line="240" w:lineRule="auto"/>
    </w:pPr>
    <w:rPr>
      <w:rFonts w:ascii="宋体" w:hAnsi="宋体" w:eastAsia="宋体" w:cs="宋体"/>
      <w:sz w:val="20"/>
      <w:szCs w:val="20"/>
    </w:rPr>
  </w:style>
  <w:style w:type="paragraph" w:styleId="11">
    <w:name w:val="footer"/>
    <w:basedOn w:val="12"/>
    <w:semiHidden/>
    <w:qFormat/>
    <w:uiPriority w:val="0"/>
    <w:pPr>
      <w:pBdr>
        <w:top w:val="single" w:color="auto" w:sz="6" w:space="1"/>
        <w:bottom w:val="none" w:color="auto" w:sz="0" w:space="0"/>
      </w:pBdr>
      <w:tabs>
        <w:tab w:val="center" w:pos="4536"/>
        <w:tab w:val="right" w:pos="9029"/>
      </w:tabs>
    </w:pPr>
  </w:style>
  <w:style w:type="paragraph" w:styleId="12">
    <w:name w:val="header"/>
    <w:basedOn w:val="1"/>
    <w:semiHidden/>
    <w:qFormat/>
    <w:uiPriority w:val="0"/>
    <w:pPr>
      <w:pBdr>
        <w:bottom w:val="single" w:color="auto" w:sz="6" w:space="1"/>
      </w:pBdr>
      <w:tabs>
        <w:tab w:val="center" w:pos="4536"/>
        <w:tab w:val="right" w:pos="9029"/>
      </w:tabs>
      <w:snapToGrid w:val="0"/>
      <w:jc w:val="left"/>
    </w:pPr>
    <w:rPr>
      <w:sz w:val="18"/>
    </w:rPr>
  </w:style>
  <w:style w:type="paragraph" w:styleId="13">
    <w:name w:val="toc 1"/>
    <w:basedOn w:val="1"/>
    <w:next w:val="1"/>
    <w:qFormat/>
    <w:uiPriority w:val="39"/>
  </w:style>
  <w:style w:type="paragraph" w:styleId="14">
    <w:name w:val="Subtitle"/>
    <w:basedOn w:val="1"/>
    <w:next w:val="15"/>
    <w:qFormat/>
    <w:uiPriority w:val="0"/>
    <w:pPr>
      <w:pBdr>
        <w:bottom w:val="single" w:color="808080" w:sz="24" w:space="1"/>
      </w:pBdr>
      <w:adjustRightInd w:val="0"/>
      <w:spacing w:before="1200" w:after="600"/>
      <w:jc w:val="right"/>
      <w:textAlignment w:val="baseline"/>
    </w:pPr>
    <w:rPr>
      <w:rFonts w:ascii="Arial" w:hAnsi="Arial" w:eastAsia="黑体"/>
      <w:kern w:val="0"/>
      <w:sz w:val="52"/>
    </w:rPr>
  </w:style>
  <w:style w:type="paragraph" w:customStyle="1" w:styleId="15">
    <w:name w:val="副题"/>
    <w:basedOn w:val="14"/>
    <w:qFormat/>
    <w:uiPriority w:val="0"/>
    <w:pPr>
      <w:pageBreakBefore w:val="0"/>
      <w:pBdr>
        <w:bottom w:val="none" w:color="auto" w:sz="0" w:space="0"/>
      </w:pBdr>
      <w:spacing w:before="120" w:after="120"/>
    </w:pPr>
    <w:rPr>
      <w:sz w:val="32"/>
    </w:rPr>
  </w:style>
  <w:style w:type="paragraph" w:styleId="16">
    <w:name w:val="footnote text"/>
    <w:link w:val="31"/>
    <w:semiHidden/>
    <w:unhideWhenUsed/>
    <w:qFormat/>
    <w:uiPriority w:val="99"/>
    <w:pPr>
      <w:spacing w:after="0" w:line="240" w:lineRule="auto"/>
    </w:pPr>
    <w:rPr>
      <w:rFonts w:ascii="宋体" w:hAnsi="宋体" w:eastAsia="宋体" w:cs="宋体"/>
      <w:sz w:val="20"/>
      <w:szCs w:val="20"/>
    </w:rPr>
  </w:style>
  <w:style w:type="paragraph" w:styleId="17">
    <w:name w:val="toc 2"/>
    <w:basedOn w:val="1"/>
    <w:next w:val="1"/>
    <w:qFormat/>
    <w:uiPriority w:val="39"/>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9">
    <w:name w:val="Title"/>
    <w:qFormat/>
    <w:uiPriority w:val="0"/>
    <w:rPr>
      <w:rFonts w:ascii="宋体" w:hAnsi="宋体" w:eastAsia="宋体" w:cs="宋体"/>
      <w:sz w:val="56"/>
      <w:szCs w:val="56"/>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ndnote reference"/>
    <w:semiHidden/>
    <w:unhideWhenUsed/>
    <w:qFormat/>
    <w:uiPriority w:val="99"/>
    <w:rPr>
      <w:vertAlign w:val="superscript"/>
    </w:rPr>
  </w:style>
  <w:style w:type="character" w:styleId="25">
    <w:name w:val="page number"/>
    <w:basedOn w:val="22"/>
    <w:qFormat/>
    <w:uiPriority w:val="0"/>
  </w:style>
  <w:style w:type="character" w:styleId="26">
    <w:name w:val="Emphasis"/>
    <w:basedOn w:val="22"/>
    <w:qFormat/>
    <w:uiPriority w:val="0"/>
    <w:rPr>
      <w:i/>
    </w:rPr>
  </w:style>
  <w:style w:type="character" w:styleId="27">
    <w:name w:val="Hyperlink"/>
    <w:unhideWhenUsed/>
    <w:qFormat/>
    <w:uiPriority w:val="99"/>
    <w:rPr>
      <w:color w:val="0563C1"/>
      <w:u w:val="single"/>
    </w:rPr>
  </w:style>
  <w:style w:type="character" w:styleId="28">
    <w:name w:val="HTML Code"/>
    <w:basedOn w:val="22"/>
    <w:qFormat/>
    <w:uiPriority w:val="0"/>
    <w:rPr>
      <w:rFonts w:ascii="Courier New" w:hAnsi="Courier New"/>
      <w:sz w:val="20"/>
    </w:rPr>
  </w:style>
  <w:style w:type="character" w:styleId="29">
    <w:name w:val="footnote reference"/>
    <w:semiHidden/>
    <w:unhideWhenUsed/>
    <w:qFormat/>
    <w:uiPriority w:val="99"/>
    <w:rPr>
      <w:vertAlign w:val="superscript"/>
    </w:rPr>
  </w:style>
  <w:style w:type="paragraph" w:styleId="30">
    <w:name w:val="List Paragraph"/>
    <w:qFormat/>
    <w:uiPriority w:val="0"/>
    <w:rPr>
      <w:rFonts w:ascii="宋体" w:hAnsi="宋体" w:eastAsia="宋体" w:cs="宋体"/>
      <w:sz w:val="24"/>
      <w:szCs w:val="24"/>
    </w:rPr>
  </w:style>
  <w:style w:type="character" w:customStyle="1" w:styleId="31">
    <w:name w:val="Footnote Text Char"/>
    <w:link w:val="16"/>
    <w:semiHidden/>
    <w:unhideWhenUsed/>
    <w:qFormat/>
    <w:uiPriority w:val="99"/>
    <w:rPr>
      <w:sz w:val="20"/>
      <w:szCs w:val="20"/>
    </w:rPr>
  </w:style>
  <w:style w:type="character" w:customStyle="1" w:styleId="32">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8017</Words>
  <Characters>10381</Characters>
  <TotalTime>57</TotalTime>
  <ScaleCrop>false</ScaleCrop>
  <LinksUpToDate>false</LinksUpToDate>
  <CharactersWithSpaces>10732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2026-04-14T07:14:00Z</dcterms:created>
  <dc:creator>Un-named</dc:creator>
  <cp:lastModifiedBy>强颜欢笑°</cp:lastModifiedBy>
  <dcterms:modified xsi:type="dcterms:W3CDTF">2026-04-16T12:33:38Z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eyJoZGlkIjoiMzEwNTM5NzYwMDRjMzkwZTVkZjY2ODkwMGIxNGU0OTUiLCJ1c2VySWQiOiIyODc5NjA5NDIifQ==</vt:lpwstr>
  </property>
  <property fmtid="{D5CDD505-2E9C-101B-9397-08002B2CF9AE}" pid="3" name="KSOProductBuildVer">
    <vt:lpwstr>2052-12.1.0.25225</vt:lpwstr>
  </property>
  <property fmtid="{D5CDD505-2E9C-101B-9397-08002B2CF9AE}" pid="4" name="ICV">
    <vt:lpwstr>7EF8467DCB7546358E71B52A39E890A4_12</vt:lpwstr>
  </property>
</Properties>
</file>