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TECHNICAL DATA DICTIONARY</w:t>
      </w:r>
    </w:p>
    <w:p>
      <w:pPr>
        <w:jc w:val="center"/>
      </w:pPr>
      <w:r>
        <w:rPr>
          <w:i/>
          <w:color w:val="646464"/>
          <w:sz w:val="20"/>
        </w:rPr>
        <w:t>Data Warehousing (LEC/LAB) — Lesson 7: Performance Tuning &amp; Data Mart Creation</w:t>
        <w:br/>
        <w:t>Group 10: Real Estate Property Listing &amp; Regional Market Value Warehouse</w:t>
        <w:br/>
        <w:t>Instructor: Prof. Rob Malitao | Date: October 2026</w:t>
      </w:r>
    </w:p>
    <w:p>
      <w:pPr>
        <w:spacing w:after="200"/>
      </w:pPr>
    </w:p>
    <w:p>
      <w:pPr>
        <w:pStyle w:val="Heading1"/>
        <w:spacing w:before="240" w:after="80"/>
      </w:pPr>
      <w:r>
        <w:rPr>
          <w:b/>
          <w:color w:val="1A365D"/>
          <w:sz w:val="32"/>
        </w:rPr>
        <w:t>1. Executive Summary &amp; Warehouse Architecture</w:t>
      </w:r>
    </w:p>
    <w:p>
      <w:r>
        <w:t>This technical data dictionary comprehensively documents the data architecture, relational star schema, data governance constraints, B-Tree index specifications, MongoDB document store schema, and the materialized Real Estate Departmental Data Mart for Group 10. The warehouse ingests King County residential property transactions (21,613 records) and enforces dual-engine analytical processing across SQLite and MongoDB.</w:t>
      </w:r>
    </w:p>
    <w:p>
      <w:pPr>
        <w:pStyle w:val="Heading1"/>
        <w:spacing w:before="240" w:after="80"/>
      </w:pPr>
      <w:r>
        <w:rPr>
          <w:b/>
          <w:color w:val="1A365D"/>
          <w:sz w:val="32"/>
        </w:rPr>
        <w:t>2. Core Relational Star Schema Specifications (SQLite)</w:t>
      </w:r>
    </w:p>
    <w:p>
      <w:pPr>
        <w:pStyle w:val="Heading2"/>
        <w:spacing w:before="240" w:after="80"/>
      </w:pPr>
      <w:r>
        <w:rPr>
          <w:b/>
          <w:color w:val="2B547E"/>
          <w:sz w:val="26"/>
        </w:rPr>
        <w:t>Table: dim_date</w:t>
      </w:r>
    </w:p>
    <w:p>
      <w:r>
        <w:t>Temporal dimension providing calendar attributes, quarterly partitioning, and weekend flags.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152"/>
            <w:shd w:fill="1A365D"/>
            <w:tcMar>
              <w:top w:w="120" w:type="dxa"/>
              <w:bottom w:w="120" w:type="dxa"/>
              <w:left w:w="150" w:type="dxa"/>
              <w:right w:w="150" w:type="dxa"/>
            </w:tcMar>
          </w:tcPr>
          <w:p>
            <w:pPr>
              <w:jc w:val="left"/>
            </w:pPr>
            <w:r>
              <w:rPr>
                <w:rFonts w:ascii="Arial" w:hAnsi="Arial"/>
                <w:b/>
                <w:color w:val="FFFFFF"/>
                <w:sz w:val="19"/>
              </w:rPr>
              <w:t>Data Type</w:t>
            </w:r>
          </w:p>
        </w:tc>
        <w:tc>
          <w:tcPr>
            <w:tcW w:type="dxa" w:w="1584"/>
            <w:shd w:fill="1A365D"/>
            <w:tcMar>
              <w:top w:w="120" w:type="dxa"/>
              <w:bottom w:w="120" w:type="dxa"/>
              <w:left w:w="150" w:type="dxa"/>
              <w:right w:w="150" w:type="dxa"/>
            </w:tcMar>
          </w:tcPr>
          <w:p>
            <w:pPr>
              <w:jc w:val="left"/>
            </w:pPr>
            <w:r>
              <w:rPr>
                <w:rFonts w:ascii="Arial" w:hAnsi="Arial"/>
                <w:b/>
                <w:color w:val="FFFFFF"/>
                <w:sz w:val="19"/>
              </w:rPr>
              <w:t>Constraints</w:t>
            </w:r>
          </w:p>
        </w:tc>
        <w:tc>
          <w:tcPr>
            <w:tcW w:type="dxa" w:w="1152"/>
            <w:shd w:fill="1A365D"/>
            <w:tcMar>
              <w:top w:w="120" w:type="dxa"/>
              <w:bottom w:w="120" w:type="dxa"/>
              <w:left w:w="150" w:type="dxa"/>
              <w:right w:w="150" w:type="dxa"/>
            </w:tcMar>
          </w:tcPr>
          <w:p>
            <w:pPr>
              <w:jc w:val="left"/>
            </w:pPr>
            <w:r>
              <w:rPr>
                <w:rFonts w:ascii="Arial" w:hAnsi="Arial"/>
                <w:b/>
                <w:color w:val="FFFFFF"/>
                <w:sz w:val="19"/>
              </w:rPr>
              <w:t>Key Type</w:t>
            </w:r>
          </w:p>
        </w:tc>
        <w:tc>
          <w:tcPr>
            <w:tcW w:type="dxa" w:w="1584"/>
            <w:shd w:fill="1A365D"/>
            <w:tcMar>
              <w:top w:w="120" w:type="dxa"/>
              <w:bottom w:w="120" w:type="dxa"/>
              <w:left w:w="150" w:type="dxa"/>
              <w:right w:w="150" w:type="dxa"/>
            </w:tcMar>
          </w:tcPr>
          <w:p>
            <w:pPr>
              <w:jc w:val="left"/>
            </w:pPr>
            <w:r>
              <w:rPr>
                <w:rFonts w:ascii="Arial" w:hAnsi="Arial"/>
                <w:b/>
                <w:color w:val="FFFFFF"/>
                <w:sz w:val="19"/>
              </w:rPr>
              <w:t>Source Mapping</w:t>
            </w:r>
          </w:p>
        </w:tc>
        <w:tc>
          <w:tcPr>
            <w:tcW w:type="dxa" w:w="3168"/>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1728"/>
            <w:shd w:fill="FFFFFF"/>
            <w:tcMar>
              <w:top w:w="80" w:type="dxa"/>
              <w:bottom w:w="80" w:type="dxa"/>
              <w:left w:w="120" w:type="dxa"/>
              <w:right w:w="120" w:type="dxa"/>
            </w:tcMar>
          </w:tcPr>
          <w:p>
            <w:r>
              <w:rPr>
                <w:rFonts w:ascii="Arial" w:hAnsi="Arial"/>
                <w:sz w:val="17"/>
              </w:rPr>
              <w:t>date_id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PRIMARY KEY</w:t>
            </w:r>
          </w:p>
        </w:tc>
        <w:tc>
          <w:tcPr>
            <w:tcW w:type="dxa" w:w="1152"/>
            <w:shd w:fill="FFFFFF"/>
            <w:tcMar>
              <w:top w:w="80" w:type="dxa"/>
              <w:bottom w:w="80" w:type="dxa"/>
              <w:left w:w="120" w:type="dxa"/>
              <w:right w:w="120" w:type="dxa"/>
            </w:tcMar>
          </w:tcPr>
          <w:p>
            <w:r>
              <w:rPr>
                <w:rFonts w:ascii="Arial" w:hAnsi="Arial"/>
                <w:sz w:val="17"/>
              </w:rPr>
              <w:t>PK</w:t>
            </w:r>
          </w:p>
        </w:tc>
        <w:tc>
          <w:tcPr>
            <w:tcW w:type="dxa" w:w="1584"/>
            <w:shd w:fill="FFFFFF"/>
            <w:tcMar>
              <w:top w:w="80" w:type="dxa"/>
              <w:bottom w:w="80" w:type="dxa"/>
              <w:left w:w="120" w:type="dxa"/>
              <w:right w:w="120" w:type="dxa"/>
            </w:tcMar>
          </w:tcPr>
          <w:p>
            <w:r>
              <w:rPr>
                <w:rFonts w:ascii="Arial" w:hAnsi="Arial"/>
                <w:sz w:val="17"/>
              </w:rPr>
              <w:t>date (derived)</w:t>
            </w:r>
          </w:p>
        </w:tc>
        <w:tc>
          <w:tcPr>
            <w:tcW w:type="dxa" w:w="3168"/>
            <w:shd w:fill="FFFFFF"/>
            <w:tcMar>
              <w:top w:w="80" w:type="dxa"/>
              <w:bottom w:w="80" w:type="dxa"/>
              <w:left w:w="120" w:type="dxa"/>
              <w:right w:w="120" w:type="dxa"/>
            </w:tcMar>
          </w:tcPr>
          <w:p>
            <w:r>
              <w:rPr>
                <w:rFonts w:ascii="Arial" w:hAnsi="Arial"/>
                <w:sz w:val="17"/>
              </w:rPr>
              <w:t>Surrogate integer date key formatted as YYYYMMDD</w:t>
            </w:r>
          </w:p>
        </w:tc>
      </w:tr>
      <w:tr>
        <w:tc>
          <w:tcPr>
            <w:tcW w:type="dxa" w:w="1728"/>
            <w:shd w:fill="F7FAFC"/>
            <w:tcMar>
              <w:top w:w="80" w:type="dxa"/>
              <w:bottom w:w="80" w:type="dxa"/>
              <w:left w:w="120" w:type="dxa"/>
              <w:right w:w="120" w:type="dxa"/>
            </w:tcMar>
          </w:tcPr>
          <w:p>
            <w:r>
              <w:rPr>
                <w:rFonts w:ascii="Arial" w:hAnsi="Arial"/>
                <w:sz w:val="17"/>
              </w:rPr>
              <w:t>full_date</w:t>
            </w:r>
          </w:p>
        </w:tc>
        <w:tc>
          <w:tcPr>
            <w:tcW w:type="dxa" w:w="1152"/>
            <w:shd w:fill="F7FAFC"/>
            <w:tcMar>
              <w:top w:w="80" w:type="dxa"/>
              <w:bottom w:w="80" w:type="dxa"/>
              <w:left w:w="120" w:type="dxa"/>
              <w:right w:w="120" w:type="dxa"/>
            </w:tcMar>
          </w:tcPr>
          <w:p>
            <w:r>
              <w:rPr>
                <w:rFonts w:ascii="Arial" w:hAnsi="Arial"/>
                <w:sz w:val="17"/>
              </w:rPr>
              <w:t>TEXT</w:t>
            </w:r>
          </w:p>
        </w:tc>
        <w:tc>
          <w:tcPr>
            <w:tcW w:type="dxa" w:w="1584"/>
            <w:shd w:fill="F7FAFC"/>
            <w:tcMar>
              <w:top w:w="80" w:type="dxa"/>
              <w:bottom w:w="80" w:type="dxa"/>
              <w:left w:w="120" w:type="dxa"/>
              <w:right w:w="120" w:type="dxa"/>
            </w:tcMar>
          </w:tcPr>
          <w:p>
            <w:r>
              <w:rPr>
                <w:rFonts w:ascii="Arial" w:hAnsi="Arial"/>
                <w:sz w:val="17"/>
              </w:rPr>
              <w:t>NOT NULL</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date</w:t>
            </w:r>
          </w:p>
        </w:tc>
        <w:tc>
          <w:tcPr>
            <w:tcW w:type="dxa" w:w="3168"/>
            <w:shd w:fill="F7FAFC"/>
            <w:tcMar>
              <w:top w:w="80" w:type="dxa"/>
              <w:bottom w:w="80" w:type="dxa"/>
              <w:left w:w="120" w:type="dxa"/>
              <w:right w:w="120" w:type="dxa"/>
            </w:tcMar>
          </w:tcPr>
          <w:p>
            <w:r>
              <w:rPr>
                <w:rFonts w:ascii="Arial" w:hAnsi="Arial"/>
                <w:sz w:val="17"/>
              </w:rPr>
              <w:t>Normalized ISO calendar date string (YYYY-MM-DD)</w:t>
            </w:r>
          </w:p>
        </w:tc>
      </w:tr>
      <w:tr>
        <w:tc>
          <w:tcPr>
            <w:tcW w:type="dxa" w:w="1728"/>
            <w:shd w:fill="FFFFFF"/>
            <w:tcMar>
              <w:top w:w="80" w:type="dxa"/>
              <w:bottom w:w="80" w:type="dxa"/>
              <w:left w:w="120" w:type="dxa"/>
              <w:right w:w="120" w:type="dxa"/>
            </w:tcMar>
          </w:tcPr>
          <w:p>
            <w:r>
              <w:rPr>
                <w:rFonts w:ascii="Arial" w:hAnsi="Arial"/>
                <w:sz w:val="17"/>
              </w:rPr>
              <w:t>year</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1900-2100</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date (extracted)</w:t>
            </w:r>
          </w:p>
        </w:tc>
        <w:tc>
          <w:tcPr>
            <w:tcW w:type="dxa" w:w="3168"/>
            <w:shd w:fill="FFFFFF"/>
            <w:tcMar>
              <w:top w:w="80" w:type="dxa"/>
              <w:bottom w:w="80" w:type="dxa"/>
              <w:left w:w="120" w:type="dxa"/>
              <w:right w:w="120" w:type="dxa"/>
            </w:tcMar>
          </w:tcPr>
          <w:p>
            <w:r>
              <w:rPr>
                <w:rFonts w:ascii="Arial" w:hAnsi="Arial"/>
                <w:sz w:val="17"/>
              </w:rPr>
              <w:t>Calendar year of property sale transaction</w:t>
            </w:r>
          </w:p>
        </w:tc>
      </w:tr>
      <w:tr>
        <w:tc>
          <w:tcPr>
            <w:tcW w:type="dxa" w:w="1728"/>
            <w:shd w:fill="F7FAFC"/>
            <w:tcMar>
              <w:top w:w="80" w:type="dxa"/>
              <w:bottom w:w="80" w:type="dxa"/>
              <w:left w:w="120" w:type="dxa"/>
              <w:right w:w="120" w:type="dxa"/>
            </w:tcMar>
          </w:tcPr>
          <w:p>
            <w:r>
              <w:rPr>
                <w:rFonts w:ascii="Arial" w:hAnsi="Arial"/>
                <w:sz w:val="17"/>
              </w:rPr>
              <w:t>quarter</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1-4</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date (extracted)</w:t>
            </w:r>
          </w:p>
        </w:tc>
        <w:tc>
          <w:tcPr>
            <w:tcW w:type="dxa" w:w="3168"/>
            <w:shd w:fill="F7FAFC"/>
            <w:tcMar>
              <w:top w:w="80" w:type="dxa"/>
              <w:bottom w:w="80" w:type="dxa"/>
              <w:left w:w="120" w:type="dxa"/>
              <w:right w:w="120" w:type="dxa"/>
            </w:tcMar>
          </w:tcPr>
          <w:p>
            <w:r>
              <w:rPr>
                <w:rFonts w:ascii="Arial" w:hAnsi="Arial"/>
                <w:sz w:val="17"/>
              </w:rPr>
              <w:t>Fiscal/calendar quarter (Q1 through Q4)</w:t>
            </w:r>
          </w:p>
        </w:tc>
      </w:tr>
      <w:tr>
        <w:tc>
          <w:tcPr>
            <w:tcW w:type="dxa" w:w="1728"/>
            <w:shd w:fill="FFFFFF"/>
            <w:tcMar>
              <w:top w:w="80" w:type="dxa"/>
              <w:bottom w:w="80" w:type="dxa"/>
              <w:left w:w="120" w:type="dxa"/>
              <w:right w:w="120" w:type="dxa"/>
            </w:tcMar>
          </w:tcPr>
          <w:p>
            <w:r>
              <w:rPr>
                <w:rFonts w:ascii="Arial" w:hAnsi="Arial"/>
                <w:sz w:val="17"/>
              </w:rPr>
              <w:t>month</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1-12</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date (extracted)</w:t>
            </w:r>
          </w:p>
        </w:tc>
        <w:tc>
          <w:tcPr>
            <w:tcW w:type="dxa" w:w="3168"/>
            <w:shd w:fill="FFFFFF"/>
            <w:tcMar>
              <w:top w:w="80" w:type="dxa"/>
              <w:bottom w:w="80" w:type="dxa"/>
              <w:left w:w="120" w:type="dxa"/>
              <w:right w:w="120" w:type="dxa"/>
            </w:tcMar>
          </w:tcPr>
          <w:p>
            <w:r>
              <w:rPr>
                <w:rFonts w:ascii="Arial" w:hAnsi="Arial"/>
                <w:sz w:val="17"/>
              </w:rPr>
              <w:t>Numerical calendar month (1 through 12)</w:t>
            </w:r>
          </w:p>
        </w:tc>
      </w:tr>
      <w:tr>
        <w:tc>
          <w:tcPr>
            <w:tcW w:type="dxa" w:w="1728"/>
            <w:shd w:fill="F7FAFC"/>
            <w:tcMar>
              <w:top w:w="80" w:type="dxa"/>
              <w:bottom w:w="80" w:type="dxa"/>
              <w:left w:w="120" w:type="dxa"/>
              <w:right w:w="120" w:type="dxa"/>
            </w:tcMar>
          </w:tcPr>
          <w:p>
            <w:r>
              <w:rPr>
                <w:rFonts w:ascii="Arial" w:hAnsi="Arial"/>
                <w:sz w:val="17"/>
              </w:rPr>
              <w:t>month_name</w:t>
            </w:r>
          </w:p>
        </w:tc>
        <w:tc>
          <w:tcPr>
            <w:tcW w:type="dxa" w:w="1152"/>
            <w:shd w:fill="F7FAFC"/>
            <w:tcMar>
              <w:top w:w="80" w:type="dxa"/>
              <w:bottom w:w="80" w:type="dxa"/>
              <w:left w:w="120" w:type="dxa"/>
              <w:right w:w="120" w:type="dxa"/>
            </w:tcMar>
          </w:tcPr>
          <w:p>
            <w:r>
              <w:rPr>
                <w:rFonts w:ascii="Arial" w:hAnsi="Arial"/>
                <w:sz w:val="17"/>
              </w:rPr>
              <w:t>TEXT</w:t>
            </w:r>
          </w:p>
        </w:tc>
        <w:tc>
          <w:tcPr>
            <w:tcW w:type="dxa" w:w="1584"/>
            <w:shd w:fill="F7FAFC"/>
            <w:tcMar>
              <w:top w:w="80" w:type="dxa"/>
              <w:bottom w:w="80" w:type="dxa"/>
              <w:left w:w="120" w:type="dxa"/>
              <w:right w:w="120" w:type="dxa"/>
            </w:tcMar>
          </w:tcPr>
          <w:p>
            <w:r>
              <w:rPr>
                <w:rFonts w:ascii="Arial" w:hAnsi="Arial"/>
                <w:sz w:val="17"/>
              </w:rPr>
              <w:t>NOT NULL</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date (extracted)</w:t>
            </w:r>
          </w:p>
        </w:tc>
        <w:tc>
          <w:tcPr>
            <w:tcW w:type="dxa" w:w="3168"/>
            <w:shd w:fill="F7FAFC"/>
            <w:tcMar>
              <w:top w:w="80" w:type="dxa"/>
              <w:bottom w:w="80" w:type="dxa"/>
              <w:left w:w="120" w:type="dxa"/>
              <w:right w:w="120" w:type="dxa"/>
            </w:tcMar>
          </w:tcPr>
          <w:p>
            <w:r>
              <w:rPr>
                <w:rFonts w:ascii="Arial" w:hAnsi="Arial"/>
                <w:sz w:val="17"/>
              </w:rPr>
              <w:t>Full textual month designation (e.g., 'May')</w:t>
            </w:r>
          </w:p>
        </w:tc>
      </w:tr>
      <w:tr>
        <w:tc>
          <w:tcPr>
            <w:tcW w:type="dxa" w:w="1728"/>
            <w:shd w:fill="FFFFFF"/>
            <w:tcMar>
              <w:top w:w="80" w:type="dxa"/>
              <w:bottom w:w="80" w:type="dxa"/>
              <w:left w:w="120" w:type="dxa"/>
              <w:right w:w="120" w:type="dxa"/>
            </w:tcMar>
          </w:tcPr>
          <w:p>
            <w:r>
              <w:rPr>
                <w:rFonts w:ascii="Arial" w:hAnsi="Arial"/>
                <w:sz w:val="17"/>
              </w:rPr>
              <w:t>day</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1-31</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date (extracted)</w:t>
            </w:r>
          </w:p>
        </w:tc>
        <w:tc>
          <w:tcPr>
            <w:tcW w:type="dxa" w:w="3168"/>
            <w:shd w:fill="FFFFFF"/>
            <w:tcMar>
              <w:top w:w="80" w:type="dxa"/>
              <w:bottom w:w="80" w:type="dxa"/>
              <w:left w:w="120" w:type="dxa"/>
              <w:right w:w="120" w:type="dxa"/>
            </w:tcMar>
          </w:tcPr>
          <w:p>
            <w:r>
              <w:rPr>
                <w:rFonts w:ascii="Arial" w:hAnsi="Arial"/>
                <w:sz w:val="17"/>
              </w:rPr>
              <w:t>Calendar day of month (1 through 31)</w:t>
            </w:r>
          </w:p>
        </w:tc>
      </w:tr>
      <w:tr>
        <w:tc>
          <w:tcPr>
            <w:tcW w:type="dxa" w:w="1728"/>
            <w:shd w:fill="F7FAFC"/>
            <w:tcMar>
              <w:top w:w="80" w:type="dxa"/>
              <w:bottom w:w="80" w:type="dxa"/>
              <w:left w:w="120" w:type="dxa"/>
              <w:right w:w="120" w:type="dxa"/>
            </w:tcMar>
          </w:tcPr>
          <w:p>
            <w:r>
              <w:rPr>
                <w:rFonts w:ascii="Arial" w:hAnsi="Arial"/>
                <w:sz w:val="17"/>
              </w:rPr>
              <w:t>day_of_week</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0-6</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date (extracted)</w:t>
            </w:r>
          </w:p>
        </w:tc>
        <w:tc>
          <w:tcPr>
            <w:tcW w:type="dxa" w:w="3168"/>
            <w:shd w:fill="F7FAFC"/>
            <w:tcMar>
              <w:top w:w="80" w:type="dxa"/>
              <w:bottom w:w="80" w:type="dxa"/>
              <w:left w:w="120" w:type="dxa"/>
              <w:right w:w="120" w:type="dxa"/>
            </w:tcMar>
          </w:tcPr>
          <w:p>
            <w:r>
              <w:rPr>
                <w:rFonts w:ascii="Arial" w:hAnsi="Arial"/>
                <w:sz w:val="17"/>
              </w:rPr>
              <w:t>Day of week index (0=Monday, 6=Sunday)</w:t>
            </w:r>
          </w:p>
        </w:tc>
      </w:tr>
      <w:tr>
        <w:tc>
          <w:tcPr>
            <w:tcW w:type="dxa" w:w="1728"/>
            <w:shd w:fill="FFFFFF"/>
            <w:tcMar>
              <w:top w:w="80" w:type="dxa"/>
              <w:bottom w:w="80" w:type="dxa"/>
              <w:left w:w="120" w:type="dxa"/>
              <w:right w:w="120" w:type="dxa"/>
            </w:tcMar>
          </w:tcPr>
          <w:p>
            <w:r>
              <w:rPr>
                <w:rFonts w:ascii="Arial" w:hAnsi="Arial"/>
                <w:sz w:val="17"/>
              </w:rPr>
              <w:t>day_name</w:t>
            </w:r>
          </w:p>
        </w:tc>
        <w:tc>
          <w:tcPr>
            <w:tcW w:type="dxa" w:w="1152"/>
            <w:shd w:fill="FFFFFF"/>
            <w:tcMar>
              <w:top w:w="80" w:type="dxa"/>
              <w:bottom w:w="80" w:type="dxa"/>
              <w:left w:w="120" w:type="dxa"/>
              <w:right w:w="120" w:type="dxa"/>
            </w:tcMar>
          </w:tcPr>
          <w:p>
            <w:r>
              <w:rPr>
                <w:rFonts w:ascii="Arial" w:hAnsi="Arial"/>
                <w:sz w:val="17"/>
              </w:rPr>
              <w:t>TEXT</w:t>
            </w:r>
          </w:p>
        </w:tc>
        <w:tc>
          <w:tcPr>
            <w:tcW w:type="dxa" w:w="1584"/>
            <w:shd w:fill="FFFFFF"/>
            <w:tcMar>
              <w:top w:w="80" w:type="dxa"/>
              <w:bottom w:w="80" w:type="dxa"/>
              <w:left w:w="120" w:type="dxa"/>
              <w:right w:w="120" w:type="dxa"/>
            </w:tcMar>
          </w:tcPr>
          <w:p>
            <w:r>
              <w:rPr>
                <w:rFonts w:ascii="Arial" w:hAnsi="Arial"/>
                <w:sz w:val="17"/>
              </w:rPr>
              <w:t>NOT NULL</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date (extracted)</w:t>
            </w:r>
          </w:p>
        </w:tc>
        <w:tc>
          <w:tcPr>
            <w:tcW w:type="dxa" w:w="3168"/>
            <w:shd w:fill="FFFFFF"/>
            <w:tcMar>
              <w:top w:w="80" w:type="dxa"/>
              <w:bottom w:w="80" w:type="dxa"/>
              <w:left w:w="120" w:type="dxa"/>
              <w:right w:w="120" w:type="dxa"/>
            </w:tcMar>
          </w:tcPr>
          <w:p>
            <w:r>
              <w:rPr>
                <w:rFonts w:ascii="Arial" w:hAnsi="Arial"/>
                <w:sz w:val="17"/>
              </w:rPr>
              <w:t>Full textual day of week name (e.g., 'Friday')</w:t>
            </w:r>
          </w:p>
        </w:tc>
      </w:tr>
      <w:tr>
        <w:tc>
          <w:tcPr>
            <w:tcW w:type="dxa" w:w="1728"/>
            <w:shd w:fill="F7FAFC"/>
            <w:tcMar>
              <w:top w:w="80" w:type="dxa"/>
              <w:bottom w:w="80" w:type="dxa"/>
              <w:left w:w="120" w:type="dxa"/>
              <w:right w:w="120" w:type="dxa"/>
            </w:tcMar>
          </w:tcPr>
          <w:p>
            <w:r>
              <w:rPr>
                <w:rFonts w:ascii="Arial" w:hAnsi="Arial"/>
                <w:sz w:val="17"/>
              </w:rPr>
              <w:t>is_weekend</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0 or 1</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date (derived)</w:t>
            </w:r>
          </w:p>
        </w:tc>
        <w:tc>
          <w:tcPr>
            <w:tcW w:type="dxa" w:w="3168"/>
            <w:shd w:fill="F7FAFC"/>
            <w:tcMar>
              <w:top w:w="80" w:type="dxa"/>
              <w:bottom w:w="80" w:type="dxa"/>
              <w:left w:w="120" w:type="dxa"/>
              <w:right w:w="120" w:type="dxa"/>
            </w:tcMar>
          </w:tcPr>
          <w:p>
            <w:r>
              <w:rPr>
                <w:rFonts w:ascii="Arial" w:hAnsi="Arial"/>
                <w:sz w:val="17"/>
              </w:rPr>
              <w:t>Binary boolean flag: 1 if Saturday/Sunday, else 0</w:t>
            </w:r>
          </w:p>
        </w:tc>
      </w:tr>
    </w:tbl>
    <w:p>
      <w:pPr>
        <w:spacing w:after="120"/>
      </w:pPr>
    </w:p>
    <w:p>
      <w:pPr>
        <w:pStyle w:val="Heading2"/>
        <w:spacing w:before="240" w:after="80"/>
      </w:pPr>
      <w:r>
        <w:rPr>
          <w:b/>
          <w:color w:val="2B547E"/>
          <w:sz w:val="26"/>
        </w:rPr>
        <w:t>Table: dim_location</w:t>
      </w:r>
    </w:p>
    <w:p>
      <w:r>
        <w:t>Geographical dimension capturing postal zones and precise GPS centroids.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152"/>
            <w:shd w:fill="1A365D"/>
            <w:tcMar>
              <w:top w:w="120" w:type="dxa"/>
              <w:bottom w:w="120" w:type="dxa"/>
              <w:left w:w="150" w:type="dxa"/>
              <w:right w:w="150" w:type="dxa"/>
            </w:tcMar>
          </w:tcPr>
          <w:p>
            <w:pPr>
              <w:jc w:val="left"/>
            </w:pPr>
            <w:r>
              <w:rPr>
                <w:rFonts w:ascii="Arial" w:hAnsi="Arial"/>
                <w:b/>
                <w:color w:val="FFFFFF"/>
                <w:sz w:val="19"/>
              </w:rPr>
              <w:t>Data Type</w:t>
            </w:r>
          </w:p>
        </w:tc>
        <w:tc>
          <w:tcPr>
            <w:tcW w:type="dxa" w:w="1584"/>
            <w:shd w:fill="1A365D"/>
            <w:tcMar>
              <w:top w:w="120" w:type="dxa"/>
              <w:bottom w:w="120" w:type="dxa"/>
              <w:left w:w="150" w:type="dxa"/>
              <w:right w:w="150" w:type="dxa"/>
            </w:tcMar>
          </w:tcPr>
          <w:p>
            <w:pPr>
              <w:jc w:val="left"/>
            </w:pPr>
            <w:r>
              <w:rPr>
                <w:rFonts w:ascii="Arial" w:hAnsi="Arial"/>
                <w:b/>
                <w:color w:val="FFFFFF"/>
                <w:sz w:val="19"/>
              </w:rPr>
              <w:t>Constraints</w:t>
            </w:r>
          </w:p>
        </w:tc>
        <w:tc>
          <w:tcPr>
            <w:tcW w:type="dxa" w:w="1152"/>
            <w:shd w:fill="1A365D"/>
            <w:tcMar>
              <w:top w:w="120" w:type="dxa"/>
              <w:bottom w:w="120" w:type="dxa"/>
              <w:left w:w="150" w:type="dxa"/>
              <w:right w:w="150" w:type="dxa"/>
            </w:tcMar>
          </w:tcPr>
          <w:p>
            <w:pPr>
              <w:jc w:val="left"/>
            </w:pPr>
            <w:r>
              <w:rPr>
                <w:rFonts w:ascii="Arial" w:hAnsi="Arial"/>
                <w:b/>
                <w:color w:val="FFFFFF"/>
                <w:sz w:val="19"/>
              </w:rPr>
              <w:t>Key Type</w:t>
            </w:r>
          </w:p>
        </w:tc>
        <w:tc>
          <w:tcPr>
            <w:tcW w:type="dxa" w:w="1584"/>
            <w:shd w:fill="1A365D"/>
            <w:tcMar>
              <w:top w:w="120" w:type="dxa"/>
              <w:bottom w:w="120" w:type="dxa"/>
              <w:left w:w="150" w:type="dxa"/>
              <w:right w:w="150" w:type="dxa"/>
            </w:tcMar>
          </w:tcPr>
          <w:p>
            <w:pPr>
              <w:jc w:val="left"/>
            </w:pPr>
            <w:r>
              <w:rPr>
                <w:rFonts w:ascii="Arial" w:hAnsi="Arial"/>
                <w:b/>
                <w:color w:val="FFFFFF"/>
                <w:sz w:val="19"/>
              </w:rPr>
              <w:t>Source Mapping</w:t>
            </w:r>
          </w:p>
        </w:tc>
        <w:tc>
          <w:tcPr>
            <w:tcW w:type="dxa" w:w="3168"/>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1728"/>
            <w:shd w:fill="FFFFFF"/>
            <w:tcMar>
              <w:top w:w="80" w:type="dxa"/>
              <w:bottom w:w="80" w:type="dxa"/>
              <w:left w:w="120" w:type="dxa"/>
              <w:right w:w="120" w:type="dxa"/>
            </w:tcMar>
          </w:tcPr>
          <w:p>
            <w:r>
              <w:rPr>
                <w:rFonts w:ascii="Arial" w:hAnsi="Arial"/>
                <w:sz w:val="17"/>
              </w:rPr>
              <w:t>location_id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PRIMARY KEY AUTO</w:t>
            </w:r>
          </w:p>
        </w:tc>
        <w:tc>
          <w:tcPr>
            <w:tcW w:type="dxa" w:w="1152"/>
            <w:shd w:fill="FFFFFF"/>
            <w:tcMar>
              <w:top w:w="80" w:type="dxa"/>
              <w:bottom w:w="80" w:type="dxa"/>
              <w:left w:w="120" w:type="dxa"/>
              <w:right w:w="120" w:type="dxa"/>
            </w:tcMar>
          </w:tcPr>
          <w:p>
            <w:r>
              <w:rPr>
                <w:rFonts w:ascii="Arial" w:hAnsi="Arial"/>
                <w:sz w:val="17"/>
              </w:rPr>
              <w:t>PK</w:t>
            </w:r>
          </w:p>
        </w:tc>
        <w:tc>
          <w:tcPr>
            <w:tcW w:type="dxa" w:w="1584"/>
            <w:shd w:fill="FFFFFF"/>
            <w:tcMar>
              <w:top w:w="80" w:type="dxa"/>
              <w:bottom w:w="80" w:type="dxa"/>
              <w:left w:w="120" w:type="dxa"/>
              <w:right w:w="120" w:type="dxa"/>
            </w:tcMar>
          </w:tcPr>
          <w:p>
            <w:r>
              <w:rPr>
                <w:rFonts w:ascii="Arial" w:hAnsi="Arial"/>
                <w:sz w:val="17"/>
              </w:rPr>
              <w:t>Derived ID</w:t>
            </w:r>
          </w:p>
        </w:tc>
        <w:tc>
          <w:tcPr>
            <w:tcW w:type="dxa" w:w="3168"/>
            <w:shd w:fill="FFFFFF"/>
            <w:tcMar>
              <w:top w:w="80" w:type="dxa"/>
              <w:bottom w:w="80" w:type="dxa"/>
              <w:left w:w="120" w:type="dxa"/>
              <w:right w:w="120" w:type="dxa"/>
            </w:tcMar>
          </w:tcPr>
          <w:p>
            <w:r>
              <w:rPr>
                <w:rFonts w:ascii="Arial" w:hAnsi="Arial"/>
                <w:sz w:val="17"/>
              </w:rPr>
              <w:t>Surrogate geographic location identifier</w:t>
            </w:r>
          </w:p>
        </w:tc>
      </w:tr>
      <w:tr>
        <w:tc>
          <w:tcPr>
            <w:tcW w:type="dxa" w:w="1728"/>
            <w:shd w:fill="F7FAFC"/>
            <w:tcMar>
              <w:top w:w="80" w:type="dxa"/>
              <w:bottom w:w="80" w:type="dxa"/>
              <w:left w:w="120" w:type="dxa"/>
              <w:right w:w="120" w:type="dxa"/>
            </w:tcMar>
          </w:tcPr>
          <w:p>
            <w:r>
              <w:rPr>
                <w:rFonts w:ascii="Arial" w:hAnsi="Arial"/>
                <w:sz w:val="17"/>
              </w:rPr>
              <w:t>zipcode</w:t>
            </w:r>
          </w:p>
        </w:tc>
        <w:tc>
          <w:tcPr>
            <w:tcW w:type="dxa" w:w="1152"/>
            <w:shd w:fill="F7FAFC"/>
            <w:tcMar>
              <w:top w:w="80" w:type="dxa"/>
              <w:bottom w:w="80" w:type="dxa"/>
              <w:left w:w="120" w:type="dxa"/>
              <w:right w:w="120" w:type="dxa"/>
            </w:tcMar>
          </w:tcPr>
          <w:p>
            <w:r>
              <w:rPr>
                <w:rFonts w:ascii="Arial" w:hAnsi="Arial"/>
                <w:sz w:val="17"/>
              </w:rPr>
              <w:t>TEXT</w:t>
            </w:r>
          </w:p>
        </w:tc>
        <w:tc>
          <w:tcPr>
            <w:tcW w:type="dxa" w:w="1584"/>
            <w:shd w:fill="F7FAFC"/>
            <w:tcMar>
              <w:top w:w="80" w:type="dxa"/>
              <w:bottom w:w="80" w:type="dxa"/>
              <w:left w:w="120" w:type="dxa"/>
              <w:right w:w="120" w:type="dxa"/>
            </w:tcMar>
          </w:tcPr>
          <w:p>
            <w:r>
              <w:rPr>
                <w:rFonts w:ascii="Arial" w:hAnsi="Arial"/>
                <w:sz w:val="17"/>
              </w:rPr>
              <w:t>NOT NULL, 5-digits</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zipcode</w:t>
            </w:r>
          </w:p>
        </w:tc>
        <w:tc>
          <w:tcPr>
            <w:tcW w:type="dxa" w:w="3168"/>
            <w:shd w:fill="F7FAFC"/>
            <w:tcMar>
              <w:top w:w="80" w:type="dxa"/>
              <w:bottom w:w="80" w:type="dxa"/>
              <w:left w:w="120" w:type="dxa"/>
              <w:right w:w="120" w:type="dxa"/>
            </w:tcMar>
          </w:tcPr>
          <w:p>
            <w:r>
              <w:rPr>
                <w:rFonts w:ascii="Arial" w:hAnsi="Arial"/>
                <w:sz w:val="17"/>
              </w:rPr>
              <w:t>Standard 5-digit United States postal code</w:t>
            </w:r>
          </w:p>
        </w:tc>
      </w:tr>
      <w:tr>
        <w:tc>
          <w:tcPr>
            <w:tcW w:type="dxa" w:w="1728"/>
            <w:shd w:fill="FFFFFF"/>
            <w:tcMar>
              <w:top w:w="80" w:type="dxa"/>
              <w:bottom w:w="80" w:type="dxa"/>
              <w:left w:w="120" w:type="dxa"/>
              <w:right w:w="120" w:type="dxa"/>
            </w:tcMar>
          </w:tcPr>
          <w:p>
            <w:r>
              <w:rPr>
                <w:rFonts w:ascii="Arial" w:hAnsi="Arial"/>
                <w:sz w:val="17"/>
              </w:rPr>
              <w:t>latitude</w:t>
            </w:r>
          </w:p>
        </w:tc>
        <w:tc>
          <w:tcPr>
            <w:tcW w:type="dxa" w:w="1152"/>
            <w:shd w:fill="FFFFFF"/>
            <w:tcMar>
              <w:top w:w="80" w:type="dxa"/>
              <w:bottom w:w="80" w:type="dxa"/>
              <w:left w:w="120" w:type="dxa"/>
              <w:right w:w="120" w:type="dxa"/>
            </w:tcMar>
          </w:tcPr>
          <w:p>
            <w:r>
              <w:rPr>
                <w:rFonts w:ascii="Arial" w:hAnsi="Arial"/>
                <w:sz w:val="17"/>
              </w:rPr>
              <w:t>REAL</w:t>
            </w:r>
          </w:p>
        </w:tc>
        <w:tc>
          <w:tcPr>
            <w:tcW w:type="dxa" w:w="1584"/>
            <w:shd w:fill="FFFFFF"/>
            <w:tcMar>
              <w:top w:w="80" w:type="dxa"/>
              <w:bottom w:w="80" w:type="dxa"/>
              <w:left w:w="120" w:type="dxa"/>
              <w:right w:w="120" w:type="dxa"/>
            </w:tcMar>
          </w:tcPr>
          <w:p>
            <w:r>
              <w:rPr>
                <w:rFonts w:ascii="Arial" w:hAnsi="Arial"/>
                <w:sz w:val="17"/>
              </w:rPr>
              <w:t>NOT NULL, [-90, 90]</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lat</w:t>
            </w:r>
          </w:p>
        </w:tc>
        <w:tc>
          <w:tcPr>
            <w:tcW w:type="dxa" w:w="3168"/>
            <w:shd w:fill="FFFFFF"/>
            <w:tcMar>
              <w:top w:w="80" w:type="dxa"/>
              <w:bottom w:w="80" w:type="dxa"/>
              <w:left w:w="120" w:type="dxa"/>
              <w:right w:w="120" w:type="dxa"/>
            </w:tcMar>
          </w:tcPr>
          <w:p>
            <w:r>
              <w:rPr>
                <w:rFonts w:ascii="Arial" w:hAnsi="Arial"/>
                <w:sz w:val="17"/>
              </w:rPr>
              <w:t>Geodetic latitude coordinate in decimal degrees</w:t>
            </w:r>
          </w:p>
        </w:tc>
      </w:tr>
      <w:tr>
        <w:tc>
          <w:tcPr>
            <w:tcW w:type="dxa" w:w="1728"/>
            <w:shd w:fill="F7FAFC"/>
            <w:tcMar>
              <w:top w:w="80" w:type="dxa"/>
              <w:bottom w:w="80" w:type="dxa"/>
              <w:left w:w="120" w:type="dxa"/>
              <w:right w:w="120" w:type="dxa"/>
            </w:tcMar>
          </w:tcPr>
          <w:p>
            <w:r>
              <w:rPr>
                <w:rFonts w:ascii="Arial" w:hAnsi="Arial"/>
                <w:sz w:val="17"/>
              </w:rPr>
              <w:t>longitude</w:t>
            </w:r>
          </w:p>
        </w:tc>
        <w:tc>
          <w:tcPr>
            <w:tcW w:type="dxa" w:w="1152"/>
            <w:shd w:fill="F7FAFC"/>
            <w:tcMar>
              <w:top w:w="80" w:type="dxa"/>
              <w:bottom w:w="80" w:type="dxa"/>
              <w:left w:w="120" w:type="dxa"/>
              <w:right w:w="120" w:type="dxa"/>
            </w:tcMar>
          </w:tcPr>
          <w:p>
            <w:r>
              <w:rPr>
                <w:rFonts w:ascii="Arial" w:hAnsi="Arial"/>
                <w:sz w:val="17"/>
              </w:rPr>
              <w:t>REAL</w:t>
            </w:r>
          </w:p>
        </w:tc>
        <w:tc>
          <w:tcPr>
            <w:tcW w:type="dxa" w:w="1584"/>
            <w:shd w:fill="F7FAFC"/>
            <w:tcMar>
              <w:top w:w="80" w:type="dxa"/>
              <w:bottom w:w="80" w:type="dxa"/>
              <w:left w:w="120" w:type="dxa"/>
              <w:right w:w="120" w:type="dxa"/>
            </w:tcMar>
          </w:tcPr>
          <w:p>
            <w:r>
              <w:rPr>
                <w:rFonts w:ascii="Arial" w:hAnsi="Arial"/>
                <w:sz w:val="17"/>
              </w:rPr>
              <w:t>NOT NULL, [-180, 180]</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long</w:t>
            </w:r>
          </w:p>
        </w:tc>
        <w:tc>
          <w:tcPr>
            <w:tcW w:type="dxa" w:w="3168"/>
            <w:shd w:fill="F7FAFC"/>
            <w:tcMar>
              <w:top w:w="80" w:type="dxa"/>
              <w:bottom w:w="80" w:type="dxa"/>
              <w:left w:w="120" w:type="dxa"/>
              <w:right w:w="120" w:type="dxa"/>
            </w:tcMar>
          </w:tcPr>
          <w:p>
            <w:r>
              <w:rPr>
                <w:rFonts w:ascii="Arial" w:hAnsi="Arial"/>
                <w:sz w:val="17"/>
              </w:rPr>
              <w:t>Geodetic longitude coordinate in decimal degrees</w:t>
            </w:r>
          </w:p>
        </w:tc>
      </w:tr>
    </w:tbl>
    <w:p>
      <w:pPr>
        <w:spacing w:after="120"/>
      </w:pPr>
    </w:p>
    <w:p>
      <w:pPr>
        <w:pStyle w:val="Heading2"/>
        <w:spacing w:before="240" w:after="80"/>
      </w:pPr>
      <w:r>
        <w:rPr>
          <w:b/>
          <w:color w:val="2B547E"/>
          <w:sz w:val="26"/>
        </w:rPr>
        <w:t>Table: dim_property</w:t>
      </w:r>
    </w:p>
    <w:p>
      <w:r>
        <w:t>Physical asset dimension holding structural vintage and neighborhood reference footprints.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152"/>
            <w:shd w:fill="1A365D"/>
            <w:tcMar>
              <w:top w:w="120" w:type="dxa"/>
              <w:bottom w:w="120" w:type="dxa"/>
              <w:left w:w="150" w:type="dxa"/>
              <w:right w:w="150" w:type="dxa"/>
            </w:tcMar>
          </w:tcPr>
          <w:p>
            <w:pPr>
              <w:jc w:val="left"/>
            </w:pPr>
            <w:r>
              <w:rPr>
                <w:rFonts w:ascii="Arial" w:hAnsi="Arial"/>
                <w:b/>
                <w:color w:val="FFFFFF"/>
                <w:sz w:val="19"/>
              </w:rPr>
              <w:t>Data Type</w:t>
            </w:r>
          </w:p>
        </w:tc>
        <w:tc>
          <w:tcPr>
            <w:tcW w:type="dxa" w:w="1584"/>
            <w:shd w:fill="1A365D"/>
            <w:tcMar>
              <w:top w:w="120" w:type="dxa"/>
              <w:bottom w:w="120" w:type="dxa"/>
              <w:left w:w="150" w:type="dxa"/>
              <w:right w:w="150" w:type="dxa"/>
            </w:tcMar>
          </w:tcPr>
          <w:p>
            <w:pPr>
              <w:jc w:val="left"/>
            </w:pPr>
            <w:r>
              <w:rPr>
                <w:rFonts w:ascii="Arial" w:hAnsi="Arial"/>
                <w:b/>
                <w:color w:val="FFFFFF"/>
                <w:sz w:val="19"/>
              </w:rPr>
              <w:t>Constraints</w:t>
            </w:r>
          </w:p>
        </w:tc>
        <w:tc>
          <w:tcPr>
            <w:tcW w:type="dxa" w:w="1152"/>
            <w:shd w:fill="1A365D"/>
            <w:tcMar>
              <w:top w:w="120" w:type="dxa"/>
              <w:bottom w:w="120" w:type="dxa"/>
              <w:left w:w="150" w:type="dxa"/>
              <w:right w:w="150" w:type="dxa"/>
            </w:tcMar>
          </w:tcPr>
          <w:p>
            <w:pPr>
              <w:jc w:val="left"/>
            </w:pPr>
            <w:r>
              <w:rPr>
                <w:rFonts w:ascii="Arial" w:hAnsi="Arial"/>
                <w:b/>
                <w:color w:val="FFFFFF"/>
                <w:sz w:val="19"/>
              </w:rPr>
              <w:t>Key Type</w:t>
            </w:r>
          </w:p>
        </w:tc>
        <w:tc>
          <w:tcPr>
            <w:tcW w:type="dxa" w:w="1584"/>
            <w:shd w:fill="1A365D"/>
            <w:tcMar>
              <w:top w:w="120" w:type="dxa"/>
              <w:bottom w:w="120" w:type="dxa"/>
              <w:left w:w="150" w:type="dxa"/>
              <w:right w:w="150" w:type="dxa"/>
            </w:tcMar>
          </w:tcPr>
          <w:p>
            <w:pPr>
              <w:jc w:val="left"/>
            </w:pPr>
            <w:r>
              <w:rPr>
                <w:rFonts w:ascii="Arial" w:hAnsi="Arial"/>
                <w:b/>
                <w:color w:val="FFFFFF"/>
                <w:sz w:val="19"/>
              </w:rPr>
              <w:t>Source Mapping</w:t>
            </w:r>
          </w:p>
        </w:tc>
        <w:tc>
          <w:tcPr>
            <w:tcW w:type="dxa" w:w="3168"/>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1728"/>
            <w:shd w:fill="FFFFFF"/>
            <w:tcMar>
              <w:top w:w="80" w:type="dxa"/>
              <w:bottom w:w="80" w:type="dxa"/>
              <w:left w:w="120" w:type="dxa"/>
              <w:right w:w="120" w:type="dxa"/>
            </w:tcMar>
          </w:tcPr>
          <w:p>
            <w:r>
              <w:rPr>
                <w:rFonts w:ascii="Arial" w:hAnsi="Arial"/>
                <w:sz w:val="17"/>
              </w:rPr>
              <w:t>property_id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PRIMARY KEY</w:t>
            </w:r>
          </w:p>
        </w:tc>
        <w:tc>
          <w:tcPr>
            <w:tcW w:type="dxa" w:w="1152"/>
            <w:shd w:fill="FFFFFF"/>
            <w:tcMar>
              <w:top w:w="80" w:type="dxa"/>
              <w:bottom w:w="80" w:type="dxa"/>
              <w:left w:w="120" w:type="dxa"/>
              <w:right w:w="120" w:type="dxa"/>
            </w:tcMar>
          </w:tcPr>
          <w:p>
            <w:r>
              <w:rPr>
                <w:rFonts w:ascii="Arial" w:hAnsi="Arial"/>
                <w:sz w:val="17"/>
              </w:rPr>
              <w:t>PK</w:t>
            </w:r>
          </w:p>
        </w:tc>
        <w:tc>
          <w:tcPr>
            <w:tcW w:type="dxa" w:w="1584"/>
            <w:shd w:fill="FFFFFF"/>
            <w:tcMar>
              <w:top w:w="80" w:type="dxa"/>
              <w:bottom w:w="80" w:type="dxa"/>
              <w:left w:w="120" w:type="dxa"/>
              <w:right w:w="120" w:type="dxa"/>
            </w:tcMar>
          </w:tcPr>
          <w:p>
            <w:r>
              <w:rPr>
                <w:rFonts w:ascii="Arial" w:hAnsi="Arial"/>
                <w:sz w:val="17"/>
              </w:rPr>
              <w:t>id</w:t>
            </w:r>
          </w:p>
        </w:tc>
        <w:tc>
          <w:tcPr>
            <w:tcW w:type="dxa" w:w="3168"/>
            <w:shd w:fill="FFFFFF"/>
            <w:tcMar>
              <w:top w:w="80" w:type="dxa"/>
              <w:bottom w:w="80" w:type="dxa"/>
              <w:left w:w="120" w:type="dxa"/>
              <w:right w:w="120" w:type="dxa"/>
            </w:tcMar>
          </w:tcPr>
          <w:p>
            <w:r>
              <w:rPr>
                <w:rFonts w:ascii="Arial" w:hAnsi="Arial"/>
                <w:sz w:val="17"/>
              </w:rPr>
              <w:t>Unique public parcel identification number</w:t>
            </w:r>
          </w:p>
        </w:tc>
      </w:tr>
      <w:tr>
        <w:tc>
          <w:tcPr>
            <w:tcW w:type="dxa" w:w="1728"/>
            <w:shd w:fill="F7FAFC"/>
            <w:tcMar>
              <w:top w:w="80" w:type="dxa"/>
              <w:bottom w:w="80" w:type="dxa"/>
              <w:left w:w="120" w:type="dxa"/>
              <w:right w:w="120" w:type="dxa"/>
            </w:tcMar>
          </w:tcPr>
          <w:p>
            <w:r>
              <w:rPr>
                <w:rFonts w:ascii="Arial" w:hAnsi="Arial"/>
                <w:sz w:val="17"/>
              </w:rPr>
              <w:t>yr_built</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&gt;= 1800</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yr_built</w:t>
            </w:r>
          </w:p>
        </w:tc>
        <w:tc>
          <w:tcPr>
            <w:tcW w:type="dxa" w:w="3168"/>
            <w:shd w:fill="F7FAFC"/>
            <w:tcMar>
              <w:top w:w="80" w:type="dxa"/>
              <w:bottom w:w="80" w:type="dxa"/>
              <w:left w:w="120" w:type="dxa"/>
              <w:right w:w="120" w:type="dxa"/>
            </w:tcMar>
          </w:tcPr>
          <w:p>
            <w:r>
              <w:rPr>
                <w:rFonts w:ascii="Arial" w:hAnsi="Arial"/>
                <w:sz w:val="17"/>
              </w:rPr>
              <w:t>Original construction year of the main structure</w:t>
            </w:r>
          </w:p>
        </w:tc>
      </w:tr>
      <w:tr>
        <w:tc>
          <w:tcPr>
            <w:tcW w:type="dxa" w:w="1728"/>
            <w:shd w:fill="FFFFFF"/>
            <w:tcMar>
              <w:top w:w="80" w:type="dxa"/>
              <w:bottom w:w="80" w:type="dxa"/>
              <w:left w:w="120" w:type="dxa"/>
              <w:right w:w="120" w:type="dxa"/>
            </w:tcMar>
          </w:tcPr>
          <w:p>
            <w:r>
              <w:rPr>
                <w:rFonts w:ascii="Arial" w:hAnsi="Arial"/>
                <w:sz w:val="17"/>
              </w:rPr>
              <w:t>yr_renovated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&gt;= 0</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yr_renovated</w:t>
            </w:r>
          </w:p>
        </w:tc>
        <w:tc>
          <w:tcPr>
            <w:tcW w:type="dxa" w:w="3168"/>
            <w:shd w:fill="FFFFFF"/>
            <w:tcMar>
              <w:top w:w="80" w:type="dxa"/>
              <w:bottom w:w="80" w:type="dxa"/>
              <w:left w:w="120" w:type="dxa"/>
              <w:right w:w="120" w:type="dxa"/>
            </w:tcMar>
          </w:tcPr>
          <w:p>
            <w:r>
              <w:rPr>
                <w:rFonts w:ascii="Arial" w:hAnsi="Arial"/>
                <w:sz w:val="17"/>
              </w:rPr>
              <w:t>Most recent major renovation year (0 if never renovated)</w:t>
            </w:r>
          </w:p>
        </w:tc>
      </w:tr>
      <w:tr>
        <w:tc>
          <w:tcPr>
            <w:tcW w:type="dxa" w:w="1728"/>
            <w:shd w:fill="F7FAFC"/>
            <w:tcMar>
              <w:top w:w="80" w:type="dxa"/>
              <w:bottom w:w="80" w:type="dxa"/>
              <w:left w:w="120" w:type="dxa"/>
              <w:right w:w="120" w:type="dxa"/>
            </w:tcMar>
          </w:tcPr>
          <w:p>
            <w:r>
              <w:rPr>
                <w:rFonts w:ascii="Arial" w:hAnsi="Arial"/>
                <w:sz w:val="17"/>
              </w:rPr>
              <w:t>is_renovated</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0 or 1</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Derived flag</w:t>
            </w:r>
          </w:p>
        </w:tc>
        <w:tc>
          <w:tcPr>
            <w:tcW w:type="dxa" w:w="3168"/>
            <w:shd w:fill="F7FAFC"/>
            <w:tcMar>
              <w:top w:w="80" w:type="dxa"/>
              <w:bottom w:w="80" w:type="dxa"/>
              <w:left w:w="120" w:type="dxa"/>
              <w:right w:w="120" w:type="dxa"/>
            </w:tcMar>
          </w:tcPr>
          <w:p>
            <w:r>
              <w:rPr>
                <w:rFonts w:ascii="Arial" w:hAnsi="Arial"/>
                <w:sz w:val="17"/>
              </w:rPr>
              <w:t>Binary flag indicating structural restoration (1=Yes, 0=No)</w:t>
            </w:r>
          </w:p>
        </w:tc>
      </w:tr>
      <w:tr>
        <w:tc>
          <w:tcPr>
            <w:tcW w:type="dxa" w:w="1728"/>
            <w:shd w:fill="FFFFFF"/>
            <w:tcMar>
              <w:top w:w="80" w:type="dxa"/>
              <w:bottom w:w="80" w:type="dxa"/>
              <w:left w:w="120" w:type="dxa"/>
              <w:right w:w="120" w:type="dxa"/>
            </w:tcMar>
          </w:tcPr>
          <w:p>
            <w:r>
              <w:rPr>
                <w:rFonts w:ascii="Arial" w:hAnsi="Arial"/>
                <w:sz w:val="17"/>
              </w:rPr>
              <w:t>sqft_living15</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&gt; 0</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sqft_living15</w:t>
            </w:r>
          </w:p>
        </w:tc>
        <w:tc>
          <w:tcPr>
            <w:tcW w:type="dxa" w:w="3168"/>
            <w:shd w:fill="FFFFFF"/>
            <w:tcMar>
              <w:top w:w="80" w:type="dxa"/>
              <w:bottom w:w="80" w:type="dxa"/>
              <w:left w:w="120" w:type="dxa"/>
              <w:right w:w="120" w:type="dxa"/>
            </w:tcMar>
          </w:tcPr>
          <w:p>
            <w:r>
              <w:rPr>
                <w:rFonts w:ascii="Arial" w:hAnsi="Arial"/>
                <w:sz w:val="17"/>
              </w:rPr>
              <w:t>Average interior living space of the nearest 15 neighboring homes</w:t>
            </w:r>
          </w:p>
        </w:tc>
      </w:tr>
      <w:tr>
        <w:tc>
          <w:tcPr>
            <w:tcW w:type="dxa" w:w="1728"/>
            <w:shd w:fill="F7FAFC"/>
            <w:tcMar>
              <w:top w:w="80" w:type="dxa"/>
              <w:bottom w:w="80" w:type="dxa"/>
              <w:left w:w="120" w:type="dxa"/>
              <w:right w:w="120" w:type="dxa"/>
            </w:tcMar>
          </w:tcPr>
          <w:p>
            <w:r>
              <w:rPr>
                <w:rFonts w:ascii="Arial" w:hAnsi="Arial"/>
                <w:sz w:val="17"/>
              </w:rPr>
              <w:t>sqft_lot15</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&gt; 0</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sqft_lot15</w:t>
            </w:r>
          </w:p>
        </w:tc>
        <w:tc>
          <w:tcPr>
            <w:tcW w:type="dxa" w:w="3168"/>
            <w:shd w:fill="F7FAFC"/>
            <w:tcMar>
              <w:top w:w="80" w:type="dxa"/>
              <w:bottom w:w="80" w:type="dxa"/>
              <w:left w:w="120" w:type="dxa"/>
              <w:right w:w="120" w:type="dxa"/>
            </w:tcMar>
          </w:tcPr>
          <w:p>
            <w:r>
              <w:rPr>
                <w:rFonts w:ascii="Arial" w:hAnsi="Arial"/>
                <w:sz w:val="17"/>
              </w:rPr>
              <w:t>Average parcel land area of the nearest 15 neighboring homes</w:t>
            </w:r>
          </w:p>
        </w:tc>
      </w:tr>
    </w:tbl>
    <w:p>
      <w:pPr>
        <w:spacing w:after="120"/>
      </w:pPr>
    </w:p>
    <w:p>
      <w:pPr>
        <w:pStyle w:val="Heading2"/>
        <w:spacing w:before="240" w:after="80"/>
      </w:pPr>
      <w:r>
        <w:rPr>
          <w:b/>
          <w:color w:val="2B547E"/>
          <w:sz w:val="26"/>
        </w:rPr>
        <w:t>Table: dim_condition_grade</w:t>
      </w:r>
    </w:p>
    <w:p>
      <w:r>
        <w:t>Structural assessment dimension storing building construction quality and site vistas.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152"/>
            <w:shd w:fill="1A365D"/>
            <w:tcMar>
              <w:top w:w="120" w:type="dxa"/>
              <w:bottom w:w="120" w:type="dxa"/>
              <w:left w:w="150" w:type="dxa"/>
              <w:right w:w="150" w:type="dxa"/>
            </w:tcMar>
          </w:tcPr>
          <w:p>
            <w:pPr>
              <w:jc w:val="left"/>
            </w:pPr>
            <w:r>
              <w:rPr>
                <w:rFonts w:ascii="Arial" w:hAnsi="Arial"/>
                <w:b/>
                <w:color w:val="FFFFFF"/>
                <w:sz w:val="19"/>
              </w:rPr>
              <w:t>Data Type</w:t>
            </w:r>
          </w:p>
        </w:tc>
        <w:tc>
          <w:tcPr>
            <w:tcW w:type="dxa" w:w="1584"/>
            <w:shd w:fill="1A365D"/>
            <w:tcMar>
              <w:top w:w="120" w:type="dxa"/>
              <w:bottom w:w="120" w:type="dxa"/>
              <w:left w:w="150" w:type="dxa"/>
              <w:right w:w="150" w:type="dxa"/>
            </w:tcMar>
          </w:tcPr>
          <w:p>
            <w:pPr>
              <w:jc w:val="left"/>
            </w:pPr>
            <w:r>
              <w:rPr>
                <w:rFonts w:ascii="Arial" w:hAnsi="Arial"/>
                <w:b/>
                <w:color w:val="FFFFFF"/>
                <w:sz w:val="19"/>
              </w:rPr>
              <w:t>Constraints</w:t>
            </w:r>
          </w:p>
        </w:tc>
        <w:tc>
          <w:tcPr>
            <w:tcW w:type="dxa" w:w="1152"/>
            <w:shd w:fill="1A365D"/>
            <w:tcMar>
              <w:top w:w="120" w:type="dxa"/>
              <w:bottom w:w="120" w:type="dxa"/>
              <w:left w:w="150" w:type="dxa"/>
              <w:right w:w="150" w:type="dxa"/>
            </w:tcMar>
          </w:tcPr>
          <w:p>
            <w:pPr>
              <w:jc w:val="left"/>
            </w:pPr>
            <w:r>
              <w:rPr>
                <w:rFonts w:ascii="Arial" w:hAnsi="Arial"/>
                <w:b/>
                <w:color w:val="FFFFFF"/>
                <w:sz w:val="19"/>
              </w:rPr>
              <w:t>Key Type</w:t>
            </w:r>
          </w:p>
        </w:tc>
        <w:tc>
          <w:tcPr>
            <w:tcW w:type="dxa" w:w="1584"/>
            <w:shd w:fill="1A365D"/>
            <w:tcMar>
              <w:top w:w="120" w:type="dxa"/>
              <w:bottom w:w="120" w:type="dxa"/>
              <w:left w:w="150" w:type="dxa"/>
              <w:right w:w="150" w:type="dxa"/>
            </w:tcMar>
          </w:tcPr>
          <w:p>
            <w:pPr>
              <w:jc w:val="left"/>
            </w:pPr>
            <w:r>
              <w:rPr>
                <w:rFonts w:ascii="Arial" w:hAnsi="Arial"/>
                <w:b/>
                <w:color w:val="FFFFFF"/>
                <w:sz w:val="19"/>
              </w:rPr>
              <w:t>Source Mapping</w:t>
            </w:r>
          </w:p>
        </w:tc>
        <w:tc>
          <w:tcPr>
            <w:tcW w:type="dxa" w:w="3168"/>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1728"/>
            <w:shd w:fill="FFFFFF"/>
            <w:tcMar>
              <w:top w:w="80" w:type="dxa"/>
              <w:bottom w:w="80" w:type="dxa"/>
              <w:left w:w="120" w:type="dxa"/>
              <w:right w:w="120" w:type="dxa"/>
            </w:tcMar>
          </w:tcPr>
          <w:p>
            <w:r>
              <w:rPr>
                <w:rFonts w:ascii="Arial" w:hAnsi="Arial"/>
                <w:sz w:val="17"/>
              </w:rPr>
              <w:t>grade_condition_id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PRIMARY KEY AUTO</w:t>
            </w:r>
          </w:p>
        </w:tc>
        <w:tc>
          <w:tcPr>
            <w:tcW w:type="dxa" w:w="1152"/>
            <w:shd w:fill="FFFFFF"/>
            <w:tcMar>
              <w:top w:w="80" w:type="dxa"/>
              <w:bottom w:w="80" w:type="dxa"/>
              <w:left w:w="120" w:type="dxa"/>
              <w:right w:w="120" w:type="dxa"/>
            </w:tcMar>
          </w:tcPr>
          <w:p>
            <w:r>
              <w:rPr>
                <w:rFonts w:ascii="Arial" w:hAnsi="Arial"/>
                <w:sz w:val="17"/>
              </w:rPr>
              <w:t>PK</w:t>
            </w:r>
          </w:p>
        </w:tc>
        <w:tc>
          <w:tcPr>
            <w:tcW w:type="dxa" w:w="1584"/>
            <w:shd w:fill="FFFFFF"/>
            <w:tcMar>
              <w:top w:w="80" w:type="dxa"/>
              <w:bottom w:w="80" w:type="dxa"/>
              <w:left w:w="120" w:type="dxa"/>
              <w:right w:w="120" w:type="dxa"/>
            </w:tcMar>
          </w:tcPr>
          <w:p>
            <w:r>
              <w:rPr>
                <w:rFonts w:ascii="Arial" w:hAnsi="Arial"/>
                <w:sz w:val="17"/>
              </w:rPr>
              <w:t>Derived ID</w:t>
            </w:r>
          </w:p>
        </w:tc>
        <w:tc>
          <w:tcPr>
            <w:tcW w:type="dxa" w:w="3168"/>
            <w:shd w:fill="FFFFFF"/>
            <w:tcMar>
              <w:top w:w="80" w:type="dxa"/>
              <w:bottom w:w="80" w:type="dxa"/>
              <w:left w:w="120" w:type="dxa"/>
              <w:right w:w="120" w:type="dxa"/>
            </w:tcMar>
          </w:tcPr>
          <w:p>
            <w:r>
              <w:rPr>
                <w:rFonts w:ascii="Arial" w:hAnsi="Arial"/>
                <w:sz w:val="17"/>
              </w:rPr>
              <w:t>Surrogate structural rating identifier</w:t>
            </w:r>
          </w:p>
        </w:tc>
      </w:tr>
      <w:tr>
        <w:tc>
          <w:tcPr>
            <w:tcW w:type="dxa" w:w="1728"/>
            <w:shd w:fill="F7FAFC"/>
            <w:tcMar>
              <w:top w:w="80" w:type="dxa"/>
              <w:bottom w:w="80" w:type="dxa"/>
              <w:left w:w="120" w:type="dxa"/>
              <w:right w:w="120" w:type="dxa"/>
            </w:tcMar>
          </w:tcPr>
          <w:p>
            <w:r>
              <w:rPr>
                <w:rFonts w:ascii="Arial" w:hAnsi="Arial"/>
                <w:sz w:val="17"/>
              </w:rPr>
              <w:t>grade</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1-13</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grade</w:t>
            </w:r>
          </w:p>
        </w:tc>
        <w:tc>
          <w:tcPr>
            <w:tcW w:type="dxa" w:w="3168"/>
            <w:shd w:fill="F7FAFC"/>
            <w:tcMar>
              <w:top w:w="80" w:type="dxa"/>
              <w:bottom w:w="80" w:type="dxa"/>
              <w:left w:w="120" w:type="dxa"/>
              <w:right w:w="120" w:type="dxa"/>
            </w:tcMar>
          </w:tcPr>
          <w:p>
            <w:r>
              <w:rPr>
                <w:rFonts w:ascii="Arial" w:hAnsi="Arial"/>
                <w:sz w:val="17"/>
              </w:rPr>
              <w:t>Official King County building construction grade (1=Low, 13=Mansion)</w:t>
            </w:r>
          </w:p>
        </w:tc>
      </w:tr>
      <w:tr>
        <w:tc>
          <w:tcPr>
            <w:tcW w:type="dxa" w:w="1728"/>
            <w:shd w:fill="FFFFFF"/>
            <w:tcMar>
              <w:top w:w="80" w:type="dxa"/>
              <w:bottom w:w="80" w:type="dxa"/>
              <w:left w:w="120" w:type="dxa"/>
              <w:right w:w="120" w:type="dxa"/>
            </w:tcMar>
          </w:tcPr>
          <w:p>
            <w:r>
              <w:rPr>
                <w:rFonts w:ascii="Arial" w:hAnsi="Arial"/>
                <w:sz w:val="17"/>
              </w:rPr>
              <w:t>condition</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1-5</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condition</w:t>
            </w:r>
          </w:p>
        </w:tc>
        <w:tc>
          <w:tcPr>
            <w:tcW w:type="dxa" w:w="3168"/>
            <w:shd w:fill="FFFFFF"/>
            <w:tcMar>
              <w:top w:w="80" w:type="dxa"/>
              <w:bottom w:w="80" w:type="dxa"/>
              <w:left w:w="120" w:type="dxa"/>
              <w:right w:w="120" w:type="dxa"/>
            </w:tcMar>
          </w:tcPr>
          <w:p>
            <w:r>
              <w:rPr>
                <w:rFonts w:ascii="Arial" w:hAnsi="Arial"/>
                <w:sz w:val="17"/>
              </w:rPr>
              <w:t>Physical maintenance condition rating (1=Poor, 5=Excellent)</w:t>
            </w:r>
          </w:p>
        </w:tc>
      </w:tr>
      <w:tr>
        <w:tc>
          <w:tcPr>
            <w:tcW w:type="dxa" w:w="1728"/>
            <w:shd w:fill="F7FAFC"/>
            <w:tcMar>
              <w:top w:w="80" w:type="dxa"/>
              <w:bottom w:w="80" w:type="dxa"/>
              <w:left w:w="120" w:type="dxa"/>
              <w:right w:w="120" w:type="dxa"/>
            </w:tcMar>
          </w:tcPr>
          <w:p>
            <w:r>
              <w:rPr>
                <w:rFonts w:ascii="Arial" w:hAnsi="Arial"/>
                <w:sz w:val="17"/>
              </w:rPr>
              <w:t>view</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0-4</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view</w:t>
            </w:r>
          </w:p>
        </w:tc>
        <w:tc>
          <w:tcPr>
            <w:tcW w:type="dxa" w:w="3168"/>
            <w:shd w:fill="F7FAFC"/>
            <w:tcMar>
              <w:top w:w="80" w:type="dxa"/>
              <w:bottom w:w="80" w:type="dxa"/>
              <w:left w:w="120" w:type="dxa"/>
              <w:right w:w="120" w:type="dxa"/>
            </w:tcMar>
          </w:tcPr>
          <w:p>
            <w:r>
              <w:rPr>
                <w:rFonts w:ascii="Arial" w:hAnsi="Arial"/>
                <w:sz w:val="17"/>
              </w:rPr>
              <w:t>Visual scenic view quality score (0=None, 4=Panoramic)</w:t>
            </w:r>
          </w:p>
        </w:tc>
      </w:tr>
      <w:tr>
        <w:tc>
          <w:tcPr>
            <w:tcW w:type="dxa" w:w="1728"/>
            <w:shd w:fill="FFFFFF"/>
            <w:tcMar>
              <w:top w:w="80" w:type="dxa"/>
              <w:bottom w:w="80" w:type="dxa"/>
              <w:left w:w="120" w:type="dxa"/>
              <w:right w:w="120" w:type="dxa"/>
            </w:tcMar>
          </w:tcPr>
          <w:p>
            <w:r>
              <w:rPr>
                <w:rFonts w:ascii="Arial" w:hAnsi="Arial"/>
                <w:sz w:val="17"/>
              </w:rPr>
              <w:t>waterfront</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0 or 1</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waterfront</w:t>
            </w:r>
          </w:p>
        </w:tc>
        <w:tc>
          <w:tcPr>
            <w:tcW w:type="dxa" w:w="3168"/>
            <w:shd w:fill="FFFFFF"/>
            <w:tcMar>
              <w:top w:w="80" w:type="dxa"/>
              <w:bottom w:w="80" w:type="dxa"/>
              <w:left w:w="120" w:type="dxa"/>
              <w:right w:w="120" w:type="dxa"/>
            </w:tcMar>
          </w:tcPr>
          <w:p>
            <w:r>
              <w:rPr>
                <w:rFonts w:ascii="Arial" w:hAnsi="Arial"/>
                <w:sz w:val="17"/>
              </w:rPr>
              <w:t>Binary indicator: 1 if parcel fronts a body of water, else 0</w:t>
            </w:r>
          </w:p>
        </w:tc>
      </w:tr>
    </w:tbl>
    <w:p>
      <w:pPr>
        <w:spacing w:after="120"/>
      </w:pPr>
    </w:p>
    <w:p>
      <w:pPr>
        <w:pStyle w:val="Heading2"/>
        <w:spacing w:before="240" w:after="80"/>
      </w:pPr>
      <w:r>
        <w:rPr>
          <w:b/>
          <w:color w:val="2B547E"/>
          <w:sz w:val="26"/>
        </w:rPr>
        <w:t>Table: fact_property_sales</w:t>
      </w:r>
    </w:p>
    <w:p>
      <w:r>
        <w:t>Central transactional fact table recording completed real estate sales and metrics.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152"/>
            <w:shd w:fill="1A365D"/>
            <w:tcMar>
              <w:top w:w="120" w:type="dxa"/>
              <w:bottom w:w="120" w:type="dxa"/>
              <w:left w:w="150" w:type="dxa"/>
              <w:right w:w="150" w:type="dxa"/>
            </w:tcMar>
          </w:tcPr>
          <w:p>
            <w:pPr>
              <w:jc w:val="left"/>
            </w:pPr>
            <w:r>
              <w:rPr>
                <w:rFonts w:ascii="Arial" w:hAnsi="Arial"/>
                <w:b/>
                <w:color w:val="FFFFFF"/>
                <w:sz w:val="19"/>
              </w:rPr>
              <w:t>Data Type</w:t>
            </w:r>
          </w:p>
        </w:tc>
        <w:tc>
          <w:tcPr>
            <w:tcW w:type="dxa" w:w="1584"/>
            <w:shd w:fill="1A365D"/>
            <w:tcMar>
              <w:top w:w="120" w:type="dxa"/>
              <w:bottom w:w="120" w:type="dxa"/>
              <w:left w:w="150" w:type="dxa"/>
              <w:right w:w="150" w:type="dxa"/>
            </w:tcMar>
          </w:tcPr>
          <w:p>
            <w:pPr>
              <w:jc w:val="left"/>
            </w:pPr>
            <w:r>
              <w:rPr>
                <w:rFonts w:ascii="Arial" w:hAnsi="Arial"/>
                <w:b/>
                <w:color w:val="FFFFFF"/>
                <w:sz w:val="19"/>
              </w:rPr>
              <w:t>Constraints</w:t>
            </w:r>
          </w:p>
        </w:tc>
        <w:tc>
          <w:tcPr>
            <w:tcW w:type="dxa" w:w="1152"/>
            <w:shd w:fill="1A365D"/>
            <w:tcMar>
              <w:top w:w="120" w:type="dxa"/>
              <w:bottom w:w="120" w:type="dxa"/>
              <w:left w:w="150" w:type="dxa"/>
              <w:right w:w="150" w:type="dxa"/>
            </w:tcMar>
          </w:tcPr>
          <w:p>
            <w:pPr>
              <w:jc w:val="left"/>
            </w:pPr>
            <w:r>
              <w:rPr>
                <w:rFonts w:ascii="Arial" w:hAnsi="Arial"/>
                <w:b/>
                <w:color w:val="FFFFFF"/>
                <w:sz w:val="19"/>
              </w:rPr>
              <w:t>Key Type</w:t>
            </w:r>
          </w:p>
        </w:tc>
        <w:tc>
          <w:tcPr>
            <w:tcW w:type="dxa" w:w="1584"/>
            <w:shd w:fill="1A365D"/>
            <w:tcMar>
              <w:top w:w="120" w:type="dxa"/>
              <w:bottom w:w="120" w:type="dxa"/>
              <w:left w:w="150" w:type="dxa"/>
              <w:right w:w="150" w:type="dxa"/>
            </w:tcMar>
          </w:tcPr>
          <w:p>
            <w:pPr>
              <w:jc w:val="left"/>
            </w:pPr>
            <w:r>
              <w:rPr>
                <w:rFonts w:ascii="Arial" w:hAnsi="Arial"/>
                <w:b/>
                <w:color w:val="FFFFFF"/>
                <w:sz w:val="19"/>
              </w:rPr>
              <w:t>Source Mapping</w:t>
            </w:r>
          </w:p>
        </w:tc>
        <w:tc>
          <w:tcPr>
            <w:tcW w:type="dxa" w:w="3168"/>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1728"/>
            <w:shd w:fill="FFFFFF"/>
            <w:tcMar>
              <w:top w:w="80" w:type="dxa"/>
              <w:bottom w:w="80" w:type="dxa"/>
              <w:left w:w="120" w:type="dxa"/>
              <w:right w:w="120" w:type="dxa"/>
            </w:tcMar>
          </w:tcPr>
          <w:p>
            <w:r>
              <w:rPr>
                <w:rFonts w:ascii="Arial" w:hAnsi="Arial"/>
                <w:sz w:val="17"/>
              </w:rPr>
              <w:t>sale_id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PRIMARY KEY AUTO</w:t>
            </w:r>
          </w:p>
        </w:tc>
        <w:tc>
          <w:tcPr>
            <w:tcW w:type="dxa" w:w="1152"/>
            <w:shd w:fill="FFFFFF"/>
            <w:tcMar>
              <w:top w:w="80" w:type="dxa"/>
              <w:bottom w:w="80" w:type="dxa"/>
              <w:left w:w="120" w:type="dxa"/>
              <w:right w:w="120" w:type="dxa"/>
            </w:tcMar>
          </w:tcPr>
          <w:p>
            <w:r>
              <w:rPr>
                <w:rFonts w:ascii="Arial" w:hAnsi="Arial"/>
                <w:sz w:val="17"/>
              </w:rPr>
              <w:t>PK</w:t>
            </w:r>
          </w:p>
        </w:tc>
        <w:tc>
          <w:tcPr>
            <w:tcW w:type="dxa" w:w="1584"/>
            <w:shd w:fill="FFFFFF"/>
            <w:tcMar>
              <w:top w:w="80" w:type="dxa"/>
              <w:bottom w:w="80" w:type="dxa"/>
              <w:left w:w="120" w:type="dxa"/>
              <w:right w:w="120" w:type="dxa"/>
            </w:tcMar>
          </w:tcPr>
          <w:p>
            <w:r>
              <w:rPr>
                <w:rFonts w:ascii="Arial" w:hAnsi="Arial"/>
                <w:sz w:val="17"/>
              </w:rPr>
              <w:t>Auto Seq</w:t>
            </w:r>
          </w:p>
        </w:tc>
        <w:tc>
          <w:tcPr>
            <w:tcW w:type="dxa" w:w="3168"/>
            <w:shd w:fill="FFFFFF"/>
            <w:tcMar>
              <w:top w:w="80" w:type="dxa"/>
              <w:bottom w:w="80" w:type="dxa"/>
              <w:left w:w="120" w:type="dxa"/>
              <w:right w:w="120" w:type="dxa"/>
            </w:tcMar>
          </w:tcPr>
          <w:p>
            <w:r>
              <w:rPr>
                <w:rFonts w:ascii="Arial" w:hAnsi="Arial"/>
                <w:sz w:val="17"/>
              </w:rPr>
              <w:t>Unique transactional surrogate sales identifier</w:t>
            </w:r>
          </w:p>
        </w:tc>
      </w:tr>
      <w:tr>
        <w:tc>
          <w:tcPr>
            <w:tcW w:type="dxa" w:w="1728"/>
            <w:shd w:fill="F7FAFC"/>
            <w:tcMar>
              <w:top w:w="80" w:type="dxa"/>
              <w:bottom w:w="80" w:type="dxa"/>
              <w:left w:w="120" w:type="dxa"/>
              <w:right w:w="120" w:type="dxa"/>
            </w:tcMar>
          </w:tcPr>
          <w:p>
            <w:r>
              <w:rPr>
                <w:rFonts w:ascii="Arial" w:hAnsi="Arial"/>
                <w:sz w:val="17"/>
              </w:rPr>
              <w:t>property_id</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w:t>
            </w:r>
          </w:p>
        </w:tc>
        <w:tc>
          <w:tcPr>
            <w:tcW w:type="dxa" w:w="1152"/>
            <w:shd w:fill="F7FAFC"/>
            <w:tcMar>
              <w:top w:w="80" w:type="dxa"/>
              <w:bottom w:w="80" w:type="dxa"/>
              <w:left w:w="120" w:type="dxa"/>
              <w:right w:w="120" w:type="dxa"/>
            </w:tcMar>
          </w:tcPr>
          <w:p>
            <w:r>
              <w:rPr>
                <w:rFonts w:ascii="Arial" w:hAnsi="Arial"/>
                <w:sz w:val="17"/>
              </w:rPr>
              <w:t>FK</w:t>
            </w:r>
          </w:p>
        </w:tc>
        <w:tc>
          <w:tcPr>
            <w:tcW w:type="dxa" w:w="1584"/>
            <w:shd w:fill="F7FAFC"/>
            <w:tcMar>
              <w:top w:w="80" w:type="dxa"/>
              <w:bottom w:w="80" w:type="dxa"/>
              <w:left w:w="120" w:type="dxa"/>
              <w:right w:w="120" w:type="dxa"/>
            </w:tcMar>
          </w:tcPr>
          <w:p>
            <w:r>
              <w:rPr>
                <w:rFonts w:ascii="Arial" w:hAnsi="Arial"/>
                <w:sz w:val="17"/>
              </w:rPr>
              <w:t>id</w:t>
            </w:r>
          </w:p>
        </w:tc>
        <w:tc>
          <w:tcPr>
            <w:tcW w:type="dxa" w:w="3168"/>
            <w:shd w:fill="F7FAFC"/>
            <w:tcMar>
              <w:top w:w="80" w:type="dxa"/>
              <w:bottom w:w="80" w:type="dxa"/>
              <w:left w:w="120" w:type="dxa"/>
              <w:right w:w="120" w:type="dxa"/>
            </w:tcMar>
          </w:tcPr>
          <w:p>
            <w:r>
              <w:rPr>
                <w:rFonts w:ascii="Arial" w:hAnsi="Arial"/>
                <w:sz w:val="17"/>
              </w:rPr>
              <w:t>Foreign key linking to dim_property(property_id)</w:t>
            </w:r>
          </w:p>
        </w:tc>
      </w:tr>
      <w:tr>
        <w:tc>
          <w:tcPr>
            <w:tcW w:type="dxa" w:w="1728"/>
            <w:shd w:fill="FFFFFF"/>
            <w:tcMar>
              <w:top w:w="80" w:type="dxa"/>
              <w:bottom w:w="80" w:type="dxa"/>
              <w:left w:w="120" w:type="dxa"/>
              <w:right w:w="120" w:type="dxa"/>
            </w:tcMar>
          </w:tcPr>
          <w:p>
            <w:r>
              <w:rPr>
                <w:rFonts w:ascii="Arial" w:hAnsi="Arial"/>
                <w:sz w:val="17"/>
              </w:rPr>
              <w:t>date_id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w:t>
            </w:r>
          </w:p>
        </w:tc>
        <w:tc>
          <w:tcPr>
            <w:tcW w:type="dxa" w:w="1152"/>
            <w:shd w:fill="FFFFFF"/>
            <w:tcMar>
              <w:top w:w="80" w:type="dxa"/>
              <w:bottom w:w="80" w:type="dxa"/>
              <w:left w:w="120" w:type="dxa"/>
              <w:right w:w="120" w:type="dxa"/>
            </w:tcMar>
          </w:tcPr>
          <w:p>
            <w:r>
              <w:rPr>
                <w:rFonts w:ascii="Arial" w:hAnsi="Arial"/>
                <w:sz w:val="17"/>
              </w:rPr>
              <w:t>FK</w:t>
            </w:r>
          </w:p>
        </w:tc>
        <w:tc>
          <w:tcPr>
            <w:tcW w:type="dxa" w:w="1584"/>
            <w:shd w:fill="FFFFFF"/>
            <w:tcMar>
              <w:top w:w="80" w:type="dxa"/>
              <w:bottom w:w="80" w:type="dxa"/>
              <w:left w:w="120" w:type="dxa"/>
              <w:right w:w="120" w:type="dxa"/>
            </w:tcMar>
          </w:tcPr>
          <w:p>
            <w:r>
              <w:rPr>
                <w:rFonts w:ascii="Arial" w:hAnsi="Arial"/>
                <w:sz w:val="17"/>
              </w:rPr>
              <w:t>Derived date</w:t>
            </w:r>
          </w:p>
        </w:tc>
        <w:tc>
          <w:tcPr>
            <w:tcW w:type="dxa" w:w="3168"/>
            <w:shd w:fill="FFFFFF"/>
            <w:tcMar>
              <w:top w:w="80" w:type="dxa"/>
              <w:bottom w:w="80" w:type="dxa"/>
              <w:left w:w="120" w:type="dxa"/>
              <w:right w:w="120" w:type="dxa"/>
            </w:tcMar>
          </w:tcPr>
          <w:p>
            <w:r>
              <w:rPr>
                <w:rFonts w:ascii="Arial" w:hAnsi="Arial"/>
                <w:sz w:val="17"/>
              </w:rPr>
              <w:t>Foreign key linking to dim_date(date_id)</w:t>
            </w:r>
          </w:p>
        </w:tc>
      </w:tr>
      <w:tr>
        <w:tc>
          <w:tcPr>
            <w:tcW w:type="dxa" w:w="1728"/>
            <w:shd w:fill="F7FAFC"/>
            <w:tcMar>
              <w:top w:w="80" w:type="dxa"/>
              <w:bottom w:w="80" w:type="dxa"/>
              <w:left w:w="120" w:type="dxa"/>
              <w:right w:w="120" w:type="dxa"/>
            </w:tcMar>
          </w:tcPr>
          <w:p>
            <w:r>
              <w:rPr>
                <w:rFonts w:ascii="Arial" w:hAnsi="Arial"/>
                <w:sz w:val="17"/>
              </w:rPr>
              <w:t>location_id</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w:t>
            </w:r>
          </w:p>
        </w:tc>
        <w:tc>
          <w:tcPr>
            <w:tcW w:type="dxa" w:w="1152"/>
            <w:shd w:fill="F7FAFC"/>
            <w:tcMar>
              <w:top w:w="80" w:type="dxa"/>
              <w:bottom w:w="80" w:type="dxa"/>
              <w:left w:w="120" w:type="dxa"/>
              <w:right w:w="120" w:type="dxa"/>
            </w:tcMar>
          </w:tcPr>
          <w:p>
            <w:r>
              <w:rPr>
                <w:rFonts w:ascii="Arial" w:hAnsi="Arial"/>
                <w:sz w:val="17"/>
              </w:rPr>
              <w:t>FK</w:t>
            </w:r>
          </w:p>
        </w:tc>
        <w:tc>
          <w:tcPr>
            <w:tcW w:type="dxa" w:w="1584"/>
            <w:shd w:fill="F7FAFC"/>
            <w:tcMar>
              <w:top w:w="80" w:type="dxa"/>
              <w:bottom w:w="80" w:type="dxa"/>
              <w:left w:w="120" w:type="dxa"/>
              <w:right w:w="120" w:type="dxa"/>
            </w:tcMar>
          </w:tcPr>
          <w:p>
            <w:r>
              <w:rPr>
                <w:rFonts w:ascii="Arial" w:hAnsi="Arial"/>
                <w:sz w:val="17"/>
              </w:rPr>
              <w:t>Derived loc</w:t>
            </w:r>
          </w:p>
        </w:tc>
        <w:tc>
          <w:tcPr>
            <w:tcW w:type="dxa" w:w="3168"/>
            <w:shd w:fill="F7FAFC"/>
            <w:tcMar>
              <w:top w:w="80" w:type="dxa"/>
              <w:bottom w:w="80" w:type="dxa"/>
              <w:left w:w="120" w:type="dxa"/>
              <w:right w:w="120" w:type="dxa"/>
            </w:tcMar>
          </w:tcPr>
          <w:p>
            <w:r>
              <w:rPr>
                <w:rFonts w:ascii="Arial" w:hAnsi="Arial"/>
                <w:sz w:val="17"/>
              </w:rPr>
              <w:t>Foreign key linking to dim_location(location_id)</w:t>
            </w:r>
          </w:p>
        </w:tc>
      </w:tr>
      <w:tr>
        <w:tc>
          <w:tcPr>
            <w:tcW w:type="dxa" w:w="1728"/>
            <w:shd w:fill="FFFFFF"/>
            <w:tcMar>
              <w:top w:w="80" w:type="dxa"/>
              <w:bottom w:w="80" w:type="dxa"/>
              <w:left w:w="120" w:type="dxa"/>
              <w:right w:w="120" w:type="dxa"/>
            </w:tcMar>
          </w:tcPr>
          <w:p>
            <w:r>
              <w:rPr>
                <w:rFonts w:ascii="Arial" w:hAnsi="Arial"/>
                <w:sz w:val="17"/>
              </w:rPr>
              <w:t>grade_condition_id</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w:t>
            </w:r>
          </w:p>
        </w:tc>
        <w:tc>
          <w:tcPr>
            <w:tcW w:type="dxa" w:w="1152"/>
            <w:shd w:fill="FFFFFF"/>
            <w:tcMar>
              <w:top w:w="80" w:type="dxa"/>
              <w:bottom w:w="80" w:type="dxa"/>
              <w:left w:w="120" w:type="dxa"/>
              <w:right w:w="120" w:type="dxa"/>
            </w:tcMar>
          </w:tcPr>
          <w:p>
            <w:r>
              <w:rPr>
                <w:rFonts w:ascii="Arial" w:hAnsi="Arial"/>
                <w:sz w:val="17"/>
              </w:rPr>
              <w:t>FK</w:t>
            </w:r>
          </w:p>
        </w:tc>
        <w:tc>
          <w:tcPr>
            <w:tcW w:type="dxa" w:w="1584"/>
            <w:shd w:fill="FFFFFF"/>
            <w:tcMar>
              <w:top w:w="80" w:type="dxa"/>
              <w:bottom w:w="80" w:type="dxa"/>
              <w:left w:w="120" w:type="dxa"/>
              <w:right w:w="120" w:type="dxa"/>
            </w:tcMar>
          </w:tcPr>
          <w:p>
            <w:r>
              <w:rPr>
                <w:rFonts w:ascii="Arial" w:hAnsi="Arial"/>
                <w:sz w:val="17"/>
              </w:rPr>
              <w:t>Derived grade</w:t>
            </w:r>
          </w:p>
        </w:tc>
        <w:tc>
          <w:tcPr>
            <w:tcW w:type="dxa" w:w="3168"/>
            <w:shd w:fill="FFFFFF"/>
            <w:tcMar>
              <w:top w:w="80" w:type="dxa"/>
              <w:bottom w:w="80" w:type="dxa"/>
              <w:left w:w="120" w:type="dxa"/>
              <w:right w:w="120" w:type="dxa"/>
            </w:tcMar>
          </w:tcPr>
          <w:p>
            <w:r>
              <w:rPr>
                <w:rFonts w:ascii="Arial" w:hAnsi="Arial"/>
                <w:sz w:val="17"/>
              </w:rPr>
              <w:t>Foreign key linking to dim_condition_grade(grade_condition_id)</w:t>
            </w:r>
          </w:p>
        </w:tc>
      </w:tr>
      <w:tr>
        <w:tc>
          <w:tcPr>
            <w:tcW w:type="dxa" w:w="1728"/>
            <w:shd w:fill="F7FAFC"/>
            <w:tcMar>
              <w:top w:w="80" w:type="dxa"/>
              <w:bottom w:w="80" w:type="dxa"/>
              <w:left w:w="120" w:type="dxa"/>
              <w:right w:w="120" w:type="dxa"/>
            </w:tcMar>
          </w:tcPr>
          <w:p>
            <w:r>
              <w:rPr>
                <w:rFonts w:ascii="Arial" w:hAnsi="Arial"/>
                <w:sz w:val="17"/>
              </w:rPr>
              <w:t>price</w:t>
            </w:r>
          </w:p>
        </w:tc>
        <w:tc>
          <w:tcPr>
            <w:tcW w:type="dxa" w:w="1152"/>
            <w:shd w:fill="F7FAFC"/>
            <w:tcMar>
              <w:top w:w="80" w:type="dxa"/>
              <w:bottom w:w="80" w:type="dxa"/>
              <w:left w:w="120" w:type="dxa"/>
              <w:right w:w="120" w:type="dxa"/>
            </w:tcMar>
          </w:tcPr>
          <w:p>
            <w:r>
              <w:rPr>
                <w:rFonts w:ascii="Arial" w:hAnsi="Arial"/>
                <w:sz w:val="17"/>
              </w:rPr>
              <w:t>REAL</w:t>
            </w:r>
          </w:p>
        </w:tc>
        <w:tc>
          <w:tcPr>
            <w:tcW w:type="dxa" w:w="1584"/>
            <w:shd w:fill="F7FAFC"/>
            <w:tcMar>
              <w:top w:w="80" w:type="dxa"/>
              <w:bottom w:w="80" w:type="dxa"/>
              <w:left w:w="120" w:type="dxa"/>
              <w:right w:w="120" w:type="dxa"/>
            </w:tcMar>
          </w:tcPr>
          <w:p>
            <w:r>
              <w:rPr>
                <w:rFonts w:ascii="Arial" w:hAnsi="Arial"/>
                <w:sz w:val="17"/>
              </w:rPr>
              <w:t>NOT NULL, CHECK &gt; 0</w:t>
            </w:r>
          </w:p>
        </w:tc>
        <w:tc>
          <w:tcPr>
            <w:tcW w:type="dxa" w:w="1152"/>
            <w:shd w:fill="F7FAFC"/>
            <w:tcMar>
              <w:top w:w="80" w:type="dxa"/>
              <w:bottom w:w="80" w:type="dxa"/>
              <w:left w:w="120" w:type="dxa"/>
              <w:right w:w="120" w:type="dxa"/>
            </w:tcMar>
          </w:tcPr>
          <w:p>
            <w:r>
              <w:rPr>
                <w:rFonts w:ascii="Arial" w:hAnsi="Arial"/>
                <w:sz w:val="17"/>
              </w:rPr>
              <w:t>Measure</w:t>
            </w:r>
          </w:p>
        </w:tc>
        <w:tc>
          <w:tcPr>
            <w:tcW w:type="dxa" w:w="1584"/>
            <w:shd w:fill="F7FAFC"/>
            <w:tcMar>
              <w:top w:w="80" w:type="dxa"/>
              <w:bottom w:w="80" w:type="dxa"/>
              <w:left w:w="120" w:type="dxa"/>
              <w:right w:w="120" w:type="dxa"/>
            </w:tcMar>
          </w:tcPr>
          <w:p>
            <w:r>
              <w:rPr>
                <w:rFonts w:ascii="Arial" w:hAnsi="Arial"/>
                <w:sz w:val="17"/>
              </w:rPr>
              <w:t>price</w:t>
            </w:r>
          </w:p>
        </w:tc>
        <w:tc>
          <w:tcPr>
            <w:tcW w:type="dxa" w:w="3168"/>
            <w:shd w:fill="F7FAFC"/>
            <w:tcMar>
              <w:top w:w="80" w:type="dxa"/>
              <w:bottom w:w="80" w:type="dxa"/>
              <w:left w:w="120" w:type="dxa"/>
              <w:right w:w="120" w:type="dxa"/>
            </w:tcMar>
          </w:tcPr>
          <w:p>
            <w:r>
              <w:rPr>
                <w:rFonts w:ascii="Arial" w:hAnsi="Arial"/>
                <w:sz w:val="17"/>
              </w:rPr>
              <w:t>Total closing sales transaction price in USD ($)</w:t>
            </w:r>
          </w:p>
        </w:tc>
      </w:tr>
      <w:tr>
        <w:tc>
          <w:tcPr>
            <w:tcW w:type="dxa" w:w="1728"/>
            <w:shd w:fill="FFFFFF"/>
            <w:tcMar>
              <w:top w:w="80" w:type="dxa"/>
              <w:bottom w:w="80" w:type="dxa"/>
              <w:left w:w="120" w:type="dxa"/>
              <w:right w:w="120" w:type="dxa"/>
            </w:tcMar>
          </w:tcPr>
          <w:p>
            <w:r>
              <w:rPr>
                <w:rFonts w:ascii="Arial" w:hAnsi="Arial"/>
                <w:sz w:val="17"/>
              </w:rPr>
              <w:t>sqft_living</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CHECK &gt; 0</w:t>
            </w:r>
          </w:p>
        </w:tc>
        <w:tc>
          <w:tcPr>
            <w:tcW w:type="dxa" w:w="1152"/>
            <w:shd w:fill="FFFFFF"/>
            <w:tcMar>
              <w:top w:w="80" w:type="dxa"/>
              <w:bottom w:w="80" w:type="dxa"/>
              <w:left w:w="120" w:type="dxa"/>
              <w:right w:w="120" w:type="dxa"/>
            </w:tcMar>
          </w:tcPr>
          <w:p>
            <w:r>
              <w:rPr>
                <w:rFonts w:ascii="Arial" w:hAnsi="Arial"/>
                <w:sz w:val="17"/>
              </w:rPr>
              <w:t>Measure</w:t>
            </w:r>
          </w:p>
        </w:tc>
        <w:tc>
          <w:tcPr>
            <w:tcW w:type="dxa" w:w="1584"/>
            <w:shd w:fill="FFFFFF"/>
            <w:tcMar>
              <w:top w:w="80" w:type="dxa"/>
              <w:bottom w:w="80" w:type="dxa"/>
              <w:left w:w="120" w:type="dxa"/>
              <w:right w:w="120" w:type="dxa"/>
            </w:tcMar>
          </w:tcPr>
          <w:p>
            <w:r>
              <w:rPr>
                <w:rFonts w:ascii="Arial" w:hAnsi="Arial"/>
                <w:sz w:val="17"/>
              </w:rPr>
              <w:t>sqft_living</w:t>
            </w:r>
          </w:p>
        </w:tc>
        <w:tc>
          <w:tcPr>
            <w:tcW w:type="dxa" w:w="3168"/>
            <w:shd w:fill="FFFFFF"/>
            <w:tcMar>
              <w:top w:w="80" w:type="dxa"/>
              <w:bottom w:w="80" w:type="dxa"/>
              <w:left w:w="120" w:type="dxa"/>
              <w:right w:w="120" w:type="dxa"/>
            </w:tcMar>
          </w:tcPr>
          <w:p>
            <w:r>
              <w:rPr>
                <w:rFonts w:ascii="Arial" w:hAnsi="Arial"/>
                <w:sz w:val="17"/>
              </w:rPr>
              <w:t>Interior living area of the property in square feet</w:t>
            </w:r>
          </w:p>
        </w:tc>
      </w:tr>
      <w:tr>
        <w:tc>
          <w:tcPr>
            <w:tcW w:type="dxa" w:w="1728"/>
            <w:shd w:fill="F7FAFC"/>
            <w:tcMar>
              <w:top w:w="80" w:type="dxa"/>
              <w:bottom w:w="80" w:type="dxa"/>
              <w:left w:w="120" w:type="dxa"/>
              <w:right w:w="120" w:type="dxa"/>
            </w:tcMar>
          </w:tcPr>
          <w:p>
            <w:r>
              <w:rPr>
                <w:rFonts w:ascii="Arial" w:hAnsi="Arial"/>
                <w:sz w:val="17"/>
              </w:rPr>
              <w:t>sqft_lot</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CHECK &gt; 0</w:t>
            </w:r>
          </w:p>
        </w:tc>
        <w:tc>
          <w:tcPr>
            <w:tcW w:type="dxa" w:w="1152"/>
            <w:shd w:fill="F7FAFC"/>
            <w:tcMar>
              <w:top w:w="80" w:type="dxa"/>
              <w:bottom w:w="80" w:type="dxa"/>
              <w:left w:w="120" w:type="dxa"/>
              <w:right w:w="120" w:type="dxa"/>
            </w:tcMar>
          </w:tcPr>
          <w:p>
            <w:r>
              <w:rPr>
                <w:rFonts w:ascii="Arial" w:hAnsi="Arial"/>
                <w:sz w:val="17"/>
              </w:rPr>
              <w:t>Measure</w:t>
            </w:r>
          </w:p>
        </w:tc>
        <w:tc>
          <w:tcPr>
            <w:tcW w:type="dxa" w:w="1584"/>
            <w:shd w:fill="F7FAFC"/>
            <w:tcMar>
              <w:top w:w="80" w:type="dxa"/>
              <w:bottom w:w="80" w:type="dxa"/>
              <w:left w:w="120" w:type="dxa"/>
              <w:right w:w="120" w:type="dxa"/>
            </w:tcMar>
          </w:tcPr>
          <w:p>
            <w:r>
              <w:rPr>
                <w:rFonts w:ascii="Arial" w:hAnsi="Arial"/>
                <w:sz w:val="17"/>
              </w:rPr>
              <w:t>sqft_lot</w:t>
            </w:r>
          </w:p>
        </w:tc>
        <w:tc>
          <w:tcPr>
            <w:tcW w:type="dxa" w:w="3168"/>
            <w:shd w:fill="F7FAFC"/>
            <w:tcMar>
              <w:top w:w="80" w:type="dxa"/>
              <w:bottom w:w="80" w:type="dxa"/>
              <w:left w:w="120" w:type="dxa"/>
              <w:right w:w="120" w:type="dxa"/>
            </w:tcMar>
          </w:tcPr>
          <w:p>
            <w:r>
              <w:rPr>
                <w:rFonts w:ascii="Arial" w:hAnsi="Arial"/>
                <w:sz w:val="17"/>
              </w:rPr>
              <w:t>Total land parcel lot area in square feet</w:t>
            </w:r>
          </w:p>
        </w:tc>
      </w:tr>
      <w:tr>
        <w:tc>
          <w:tcPr>
            <w:tcW w:type="dxa" w:w="1728"/>
            <w:shd w:fill="FFFFFF"/>
            <w:tcMar>
              <w:top w:w="80" w:type="dxa"/>
              <w:bottom w:w="80" w:type="dxa"/>
              <w:left w:w="120" w:type="dxa"/>
              <w:right w:w="120" w:type="dxa"/>
            </w:tcMar>
          </w:tcPr>
          <w:p>
            <w:r>
              <w:rPr>
                <w:rFonts w:ascii="Arial" w:hAnsi="Arial"/>
                <w:sz w:val="17"/>
              </w:rPr>
              <w:t>price_per_sqft</w:t>
            </w:r>
          </w:p>
        </w:tc>
        <w:tc>
          <w:tcPr>
            <w:tcW w:type="dxa" w:w="1152"/>
            <w:shd w:fill="FFFFFF"/>
            <w:tcMar>
              <w:top w:w="80" w:type="dxa"/>
              <w:bottom w:w="80" w:type="dxa"/>
              <w:left w:w="120" w:type="dxa"/>
              <w:right w:w="120" w:type="dxa"/>
            </w:tcMar>
          </w:tcPr>
          <w:p>
            <w:r>
              <w:rPr>
                <w:rFonts w:ascii="Arial" w:hAnsi="Arial"/>
                <w:sz w:val="17"/>
              </w:rPr>
              <w:t>REAL</w:t>
            </w:r>
          </w:p>
        </w:tc>
        <w:tc>
          <w:tcPr>
            <w:tcW w:type="dxa" w:w="1584"/>
            <w:shd w:fill="FFFFFF"/>
            <w:tcMar>
              <w:top w:w="80" w:type="dxa"/>
              <w:bottom w:w="80" w:type="dxa"/>
              <w:left w:w="120" w:type="dxa"/>
              <w:right w:w="120" w:type="dxa"/>
            </w:tcMar>
          </w:tcPr>
          <w:p>
            <w:r>
              <w:rPr>
                <w:rFonts w:ascii="Arial" w:hAnsi="Arial"/>
                <w:sz w:val="17"/>
              </w:rPr>
              <w:t>NOT NULL, CHECK &gt; 0</w:t>
            </w:r>
          </w:p>
        </w:tc>
        <w:tc>
          <w:tcPr>
            <w:tcW w:type="dxa" w:w="1152"/>
            <w:shd w:fill="FFFFFF"/>
            <w:tcMar>
              <w:top w:w="80" w:type="dxa"/>
              <w:bottom w:w="80" w:type="dxa"/>
              <w:left w:w="120" w:type="dxa"/>
              <w:right w:w="120" w:type="dxa"/>
            </w:tcMar>
          </w:tcPr>
          <w:p>
            <w:r>
              <w:rPr>
                <w:rFonts w:ascii="Arial" w:hAnsi="Arial"/>
                <w:sz w:val="17"/>
              </w:rPr>
              <w:t>Measure</w:t>
            </w:r>
          </w:p>
        </w:tc>
        <w:tc>
          <w:tcPr>
            <w:tcW w:type="dxa" w:w="1584"/>
            <w:shd w:fill="FFFFFF"/>
            <w:tcMar>
              <w:top w:w="80" w:type="dxa"/>
              <w:bottom w:w="80" w:type="dxa"/>
              <w:left w:w="120" w:type="dxa"/>
              <w:right w:w="120" w:type="dxa"/>
            </w:tcMar>
          </w:tcPr>
          <w:p>
            <w:r>
              <w:rPr>
                <w:rFonts w:ascii="Arial" w:hAnsi="Arial"/>
                <w:sz w:val="17"/>
              </w:rPr>
              <w:t>Calculated</w:t>
            </w:r>
          </w:p>
        </w:tc>
        <w:tc>
          <w:tcPr>
            <w:tcW w:type="dxa" w:w="3168"/>
            <w:shd w:fill="FFFFFF"/>
            <w:tcMar>
              <w:top w:w="80" w:type="dxa"/>
              <w:bottom w:w="80" w:type="dxa"/>
              <w:left w:w="120" w:type="dxa"/>
              <w:right w:w="120" w:type="dxa"/>
            </w:tcMar>
          </w:tcPr>
          <w:p>
            <w:r>
              <w:rPr>
                <w:rFonts w:ascii="Arial" w:hAnsi="Arial"/>
                <w:sz w:val="17"/>
              </w:rPr>
              <w:t>Unit valuation metric: price divided by sqft_living ($/sqft)</w:t>
            </w:r>
          </w:p>
        </w:tc>
      </w:tr>
      <w:tr>
        <w:tc>
          <w:tcPr>
            <w:tcW w:type="dxa" w:w="1728"/>
            <w:shd w:fill="F7FAFC"/>
            <w:tcMar>
              <w:top w:w="80" w:type="dxa"/>
              <w:bottom w:w="80" w:type="dxa"/>
              <w:left w:w="120" w:type="dxa"/>
              <w:right w:w="120" w:type="dxa"/>
            </w:tcMar>
          </w:tcPr>
          <w:p>
            <w:r>
              <w:rPr>
                <w:rFonts w:ascii="Arial" w:hAnsi="Arial"/>
                <w:sz w:val="17"/>
              </w:rPr>
              <w:t>bedrooms</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CHECK &gt;= 0</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bedrooms</w:t>
            </w:r>
          </w:p>
        </w:tc>
        <w:tc>
          <w:tcPr>
            <w:tcW w:type="dxa" w:w="3168"/>
            <w:shd w:fill="F7FAFC"/>
            <w:tcMar>
              <w:top w:w="80" w:type="dxa"/>
              <w:bottom w:w="80" w:type="dxa"/>
              <w:left w:w="120" w:type="dxa"/>
              <w:right w:w="120" w:type="dxa"/>
            </w:tcMar>
          </w:tcPr>
          <w:p>
            <w:r>
              <w:rPr>
                <w:rFonts w:ascii="Arial" w:hAnsi="Arial"/>
                <w:sz w:val="17"/>
              </w:rPr>
              <w:t>Total count of bedrooms in the dwelling</w:t>
            </w:r>
          </w:p>
        </w:tc>
      </w:tr>
      <w:tr>
        <w:tc>
          <w:tcPr>
            <w:tcW w:type="dxa" w:w="1728"/>
            <w:shd w:fill="FFFFFF"/>
            <w:tcMar>
              <w:top w:w="80" w:type="dxa"/>
              <w:bottom w:w="80" w:type="dxa"/>
              <w:left w:w="120" w:type="dxa"/>
              <w:right w:w="120" w:type="dxa"/>
            </w:tcMar>
          </w:tcPr>
          <w:p>
            <w:r>
              <w:rPr>
                <w:rFonts w:ascii="Arial" w:hAnsi="Arial"/>
                <w:sz w:val="17"/>
              </w:rPr>
              <w:t>bathrooms</w:t>
            </w:r>
          </w:p>
        </w:tc>
        <w:tc>
          <w:tcPr>
            <w:tcW w:type="dxa" w:w="1152"/>
            <w:shd w:fill="FFFFFF"/>
            <w:tcMar>
              <w:top w:w="80" w:type="dxa"/>
              <w:bottom w:w="80" w:type="dxa"/>
              <w:left w:w="120" w:type="dxa"/>
              <w:right w:w="120" w:type="dxa"/>
            </w:tcMar>
          </w:tcPr>
          <w:p>
            <w:r>
              <w:rPr>
                <w:rFonts w:ascii="Arial" w:hAnsi="Arial"/>
                <w:sz w:val="17"/>
              </w:rPr>
              <w:t>REAL</w:t>
            </w:r>
          </w:p>
        </w:tc>
        <w:tc>
          <w:tcPr>
            <w:tcW w:type="dxa" w:w="1584"/>
            <w:shd w:fill="FFFFFF"/>
            <w:tcMar>
              <w:top w:w="80" w:type="dxa"/>
              <w:bottom w:w="80" w:type="dxa"/>
              <w:left w:w="120" w:type="dxa"/>
              <w:right w:w="120" w:type="dxa"/>
            </w:tcMar>
          </w:tcPr>
          <w:p>
            <w:r>
              <w:rPr>
                <w:rFonts w:ascii="Arial" w:hAnsi="Arial"/>
                <w:sz w:val="17"/>
              </w:rPr>
              <w:t>NOT NULL, CHECK &gt;= 0</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bathrooms</w:t>
            </w:r>
          </w:p>
        </w:tc>
        <w:tc>
          <w:tcPr>
            <w:tcW w:type="dxa" w:w="3168"/>
            <w:shd w:fill="FFFFFF"/>
            <w:tcMar>
              <w:top w:w="80" w:type="dxa"/>
              <w:bottom w:w="80" w:type="dxa"/>
              <w:left w:w="120" w:type="dxa"/>
              <w:right w:w="120" w:type="dxa"/>
            </w:tcMar>
          </w:tcPr>
          <w:p>
            <w:r>
              <w:rPr>
                <w:rFonts w:ascii="Arial" w:hAnsi="Arial"/>
                <w:sz w:val="17"/>
              </w:rPr>
              <w:t>Total count of bathrooms (quarter/half increments allowed)</w:t>
            </w:r>
          </w:p>
        </w:tc>
      </w:tr>
      <w:tr>
        <w:tc>
          <w:tcPr>
            <w:tcW w:type="dxa" w:w="1728"/>
            <w:shd w:fill="F7FAFC"/>
            <w:tcMar>
              <w:top w:w="80" w:type="dxa"/>
              <w:bottom w:w="80" w:type="dxa"/>
              <w:left w:w="120" w:type="dxa"/>
              <w:right w:w="120" w:type="dxa"/>
            </w:tcMar>
          </w:tcPr>
          <w:p>
            <w:r>
              <w:rPr>
                <w:rFonts w:ascii="Arial" w:hAnsi="Arial"/>
                <w:sz w:val="17"/>
              </w:rPr>
              <w:t>floors</w:t>
            </w:r>
          </w:p>
        </w:tc>
        <w:tc>
          <w:tcPr>
            <w:tcW w:type="dxa" w:w="1152"/>
            <w:shd w:fill="F7FAFC"/>
            <w:tcMar>
              <w:top w:w="80" w:type="dxa"/>
              <w:bottom w:w="80" w:type="dxa"/>
              <w:left w:w="120" w:type="dxa"/>
              <w:right w:w="120" w:type="dxa"/>
            </w:tcMar>
          </w:tcPr>
          <w:p>
            <w:r>
              <w:rPr>
                <w:rFonts w:ascii="Arial" w:hAnsi="Arial"/>
                <w:sz w:val="17"/>
              </w:rPr>
              <w:t>REAL</w:t>
            </w:r>
          </w:p>
        </w:tc>
        <w:tc>
          <w:tcPr>
            <w:tcW w:type="dxa" w:w="1584"/>
            <w:shd w:fill="F7FAFC"/>
            <w:tcMar>
              <w:top w:w="80" w:type="dxa"/>
              <w:bottom w:w="80" w:type="dxa"/>
              <w:left w:w="120" w:type="dxa"/>
              <w:right w:w="120" w:type="dxa"/>
            </w:tcMar>
          </w:tcPr>
          <w:p>
            <w:r>
              <w:rPr>
                <w:rFonts w:ascii="Arial" w:hAnsi="Arial"/>
                <w:sz w:val="17"/>
              </w:rPr>
              <w:t>NOT NULL, CHECK &gt; 0</w:t>
            </w:r>
          </w:p>
        </w:tc>
        <w:tc>
          <w:tcPr>
            <w:tcW w:type="dxa" w:w="1152"/>
            <w:shd w:fill="F7FAFC"/>
            <w:tcMar>
              <w:top w:w="80" w:type="dxa"/>
              <w:bottom w:w="80" w:type="dxa"/>
              <w:left w:w="120" w:type="dxa"/>
              <w:right w:w="120" w:type="dxa"/>
            </w:tcMar>
          </w:tcPr>
          <w:p>
            <w:r>
              <w:rPr>
                <w:rFonts w:ascii="Arial" w:hAnsi="Arial"/>
                <w:sz w:val="17"/>
              </w:rPr>
              <w:t>Attribute</w:t>
            </w:r>
          </w:p>
        </w:tc>
        <w:tc>
          <w:tcPr>
            <w:tcW w:type="dxa" w:w="1584"/>
            <w:shd w:fill="F7FAFC"/>
            <w:tcMar>
              <w:top w:w="80" w:type="dxa"/>
              <w:bottom w:w="80" w:type="dxa"/>
              <w:left w:w="120" w:type="dxa"/>
              <w:right w:w="120" w:type="dxa"/>
            </w:tcMar>
          </w:tcPr>
          <w:p>
            <w:r>
              <w:rPr>
                <w:rFonts w:ascii="Arial" w:hAnsi="Arial"/>
                <w:sz w:val="17"/>
              </w:rPr>
              <w:t>floors</w:t>
            </w:r>
          </w:p>
        </w:tc>
        <w:tc>
          <w:tcPr>
            <w:tcW w:type="dxa" w:w="3168"/>
            <w:shd w:fill="F7FAFC"/>
            <w:tcMar>
              <w:top w:w="80" w:type="dxa"/>
              <w:bottom w:w="80" w:type="dxa"/>
              <w:left w:w="120" w:type="dxa"/>
              <w:right w:w="120" w:type="dxa"/>
            </w:tcMar>
          </w:tcPr>
          <w:p>
            <w:r>
              <w:rPr>
                <w:rFonts w:ascii="Arial" w:hAnsi="Arial"/>
                <w:sz w:val="17"/>
              </w:rPr>
              <w:t>Number of vertical finished floors / stories</w:t>
            </w:r>
          </w:p>
        </w:tc>
      </w:tr>
      <w:tr>
        <w:tc>
          <w:tcPr>
            <w:tcW w:type="dxa" w:w="1728"/>
            <w:shd w:fill="FFFFFF"/>
            <w:tcMar>
              <w:top w:w="80" w:type="dxa"/>
              <w:bottom w:w="80" w:type="dxa"/>
              <w:left w:w="120" w:type="dxa"/>
              <w:right w:w="120" w:type="dxa"/>
            </w:tcMar>
          </w:tcPr>
          <w:p>
            <w:r>
              <w:rPr>
                <w:rFonts w:ascii="Arial" w:hAnsi="Arial"/>
                <w:sz w:val="17"/>
              </w:rPr>
              <w:t>sqft_above</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CHECK &gt;= 0</w:t>
            </w:r>
          </w:p>
        </w:tc>
        <w:tc>
          <w:tcPr>
            <w:tcW w:type="dxa" w:w="1152"/>
            <w:shd w:fill="FFFFFF"/>
            <w:tcMar>
              <w:top w:w="80" w:type="dxa"/>
              <w:bottom w:w="80" w:type="dxa"/>
              <w:left w:w="120" w:type="dxa"/>
              <w:right w:w="120" w:type="dxa"/>
            </w:tcMar>
          </w:tcPr>
          <w:p>
            <w:r>
              <w:rPr>
                <w:rFonts w:ascii="Arial" w:hAnsi="Arial"/>
                <w:sz w:val="17"/>
              </w:rPr>
              <w:t>Measure</w:t>
            </w:r>
          </w:p>
        </w:tc>
        <w:tc>
          <w:tcPr>
            <w:tcW w:type="dxa" w:w="1584"/>
            <w:shd w:fill="FFFFFF"/>
            <w:tcMar>
              <w:top w:w="80" w:type="dxa"/>
              <w:bottom w:w="80" w:type="dxa"/>
              <w:left w:w="120" w:type="dxa"/>
              <w:right w:w="120" w:type="dxa"/>
            </w:tcMar>
          </w:tcPr>
          <w:p>
            <w:r>
              <w:rPr>
                <w:rFonts w:ascii="Arial" w:hAnsi="Arial"/>
                <w:sz w:val="17"/>
              </w:rPr>
              <w:t>sqft_above</w:t>
            </w:r>
          </w:p>
        </w:tc>
        <w:tc>
          <w:tcPr>
            <w:tcW w:type="dxa" w:w="3168"/>
            <w:shd w:fill="FFFFFF"/>
            <w:tcMar>
              <w:top w:w="80" w:type="dxa"/>
              <w:bottom w:w="80" w:type="dxa"/>
              <w:left w:w="120" w:type="dxa"/>
              <w:right w:w="120" w:type="dxa"/>
            </w:tcMar>
          </w:tcPr>
          <w:p>
            <w:r>
              <w:rPr>
                <w:rFonts w:ascii="Arial" w:hAnsi="Arial"/>
                <w:sz w:val="17"/>
              </w:rPr>
              <w:t>Interior living space located strictly above grade level</w:t>
            </w:r>
          </w:p>
        </w:tc>
      </w:tr>
      <w:tr>
        <w:tc>
          <w:tcPr>
            <w:tcW w:type="dxa" w:w="1728"/>
            <w:shd w:fill="F7FAFC"/>
            <w:tcMar>
              <w:top w:w="80" w:type="dxa"/>
              <w:bottom w:w="80" w:type="dxa"/>
              <w:left w:w="120" w:type="dxa"/>
              <w:right w:w="120" w:type="dxa"/>
            </w:tcMar>
          </w:tcPr>
          <w:p>
            <w:r>
              <w:rPr>
                <w:rFonts w:ascii="Arial" w:hAnsi="Arial"/>
                <w:sz w:val="17"/>
              </w:rPr>
              <w:t>sqft_basement</w:t>
            </w:r>
          </w:p>
        </w:tc>
        <w:tc>
          <w:tcPr>
            <w:tcW w:type="dxa" w:w="1152"/>
            <w:shd w:fill="F7FAFC"/>
            <w:tcMar>
              <w:top w:w="80" w:type="dxa"/>
              <w:bottom w:w="80" w:type="dxa"/>
              <w:left w:w="120" w:type="dxa"/>
              <w:right w:w="120" w:type="dxa"/>
            </w:tcMar>
          </w:tcPr>
          <w:p>
            <w:r>
              <w:rPr>
                <w:rFonts w:ascii="Arial" w:hAnsi="Arial"/>
                <w:sz w:val="17"/>
              </w:rPr>
              <w:t>INTEGER</w:t>
            </w:r>
          </w:p>
        </w:tc>
        <w:tc>
          <w:tcPr>
            <w:tcW w:type="dxa" w:w="1584"/>
            <w:shd w:fill="F7FAFC"/>
            <w:tcMar>
              <w:top w:w="80" w:type="dxa"/>
              <w:bottom w:w="80" w:type="dxa"/>
              <w:left w:w="120" w:type="dxa"/>
              <w:right w:w="120" w:type="dxa"/>
            </w:tcMar>
          </w:tcPr>
          <w:p>
            <w:r>
              <w:rPr>
                <w:rFonts w:ascii="Arial" w:hAnsi="Arial"/>
                <w:sz w:val="17"/>
              </w:rPr>
              <w:t>NOT NULL, CHECK &gt;= 0</w:t>
            </w:r>
          </w:p>
        </w:tc>
        <w:tc>
          <w:tcPr>
            <w:tcW w:type="dxa" w:w="1152"/>
            <w:shd w:fill="F7FAFC"/>
            <w:tcMar>
              <w:top w:w="80" w:type="dxa"/>
              <w:bottom w:w="80" w:type="dxa"/>
              <w:left w:w="120" w:type="dxa"/>
              <w:right w:w="120" w:type="dxa"/>
            </w:tcMar>
          </w:tcPr>
          <w:p>
            <w:r>
              <w:rPr>
                <w:rFonts w:ascii="Arial" w:hAnsi="Arial"/>
                <w:sz w:val="17"/>
              </w:rPr>
              <w:t>Measure</w:t>
            </w:r>
          </w:p>
        </w:tc>
        <w:tc>
          <w:tcPr>
            <w:tcW w:type="dxa" w:w="1584"/>
            <w:shd w:fill="F7FAFC"/>
            <w:tcMar>
              <w:top w:w="80" w:type="dxa"/>
              <w:bottom w:w="80" w:type="dxa"/>
              <w:left w:w="120" w:type="dxa"/>
              <w:right w:w="120" w:type="dxa"/>
            </w:tcMar>
          </w:tcPr>
          <w:p>
            <w:r>
              <w:rPr>
                <w:rFonts w:ascii="Arial" w:hAnsi="Arial"/>
                <w:sz w:val="17"/>
              </w:rPr>
              <w:t>sqft_basement</w:t>
            </w:r>
          </w:p>
        </w:tc>
        <w:tc>
          <w:tcPr>
            <w:tcW w:type="dxa" w:w="3168"/>
            <w:shd w:fill="F7FAFC"/>
            <w:tcMar>
              <w:top w:w="80" w:type="dxa"/>
              <w:bottom w:w="80" w:type="dxa"/>
              <w:left w:w="120" w:type="dxa"/>
              <w:right w:w="120" w:type="dxa"/>
            </w:tcMar>
          </w:tcPr>
          <w:p>
            <w:r>
              <w:rPr>
                <w:rFonts w:ascii="Arial" w:hAnsi="Arial"/>
                <w:sz w:val="17"/>
              </w:rPr>
              <w:t>Subterranean basement interior area in square feet</w:t>
            </w:r>
          </w:p>
        </w:tc>
      </w:tr>
      <w:tr>
        <w:tc>
          <w:tcPr>
            <w:tcW w:type="dxa" w:w="1728"/>
            <w:shd w:fill="FFFFFF"/>
            <w:tcMar>
              <w:top w:w="80" w:type="dxa"/>
              <w:bottom w:w="80" w:type="dxa"/>
              <w:left w:w="120" w:type="dxa"/>
              <w:right w:w="120" w:type="dxa"/>
            </w:tcMar>
          </w:tcPr>
          <w:p>
            <w:r>
              <w:rPr>
                <w:rFonts w:ascii="Arial" w:hAnsi="Arial"/>
                <w:sz w:val="17"/>
              </w:rPr>
              <w:t>has_basement</w:t>
            </w:r>
          </w:p>
        </w:tc>
        <w:tc>
          <w:tcPr>
            <w:tcW w:type="dxa" w:w="1152"/>
            <w:shd w:fill="FFFFFF"/>
            <w:tcMar>
              <w:top w:w="80" w:type="dxa"/>
              <w:bottom w:w="80" w:type="dxa"/>
              <w:left w:w="120" w:type="dxa"/>
              <w:right w:w="120" w:type="dxa"/>
            </w:tcMar>
          </w:tcPr>
          <w:p>
            <w:r>
              <w:rPr>
                <w:rFonts w:ascii="Arial" w:hAnsi="Arial"/>
                <w:sz w:val="17"/>
              </w:rPr>
              <w:t>INTEGER</w:t>
            </w:r>
          </w:p>
        </w:tc>
        <w:tc>
          <w:tcPr>
            <w:tcW w:type="dxa" w:w="1584"/>
            <w:shd w:fill="FFFFFF"/>
            <w:tcMar>
              <w:top w:w="80" w:type="dxa"/>
              <w:bottom w:w="80" w:type="dxa"/>
              <w:left w:w="120" w:type="dxa"/>
              <w:right w:w="120" w:type="dxa"/>
            </w:tcMar>
          </w:tcPr>
          <w:p>
            <w:r>
              <w:rPr>
                <w:rFonts w:ascii="Arial" w:hAnsi="Arial"/>
                <w:sz w:val="17"/>
              </w:rPr>
              <w:t>NOT NULL, 0 or 1</w:t>
            </w:r>
          </w:p>
        </w:tc>
        <w:tc>
          <w:tcPr>
            <w:tcW w:type="dxa" w:w="1152"/>
            <w:shd w:fill="FFFFFF"/>
            <w:tcMar>
              <w:top w:w="80" w:type="dxa"/>
              <w:bottom w:w="80" w:type="dxa"/>
              <w:left w:w="120" w:type="dxa"/>
              <w:right w:w="120" w:type="dxa"/>
            </w:tcMar>
          </w:tcPr>
          <w:p>
            <w:r>
              <w:rPr>
                <w:rFonts w:ascii="Arial" w:hAnsi="Arial"/>
                <w:sz w:val="17"/>
              </w:rPr>
              <w:t>Attribute</w:t>
            </w:r>
          </w:p>
        </w:tc>
        <w:tc>
          <w:tcPr>
            <w:tcW w:type="dxa" w:w="1584"/>
            <w:shd w:fill="FFFFFF"/>
            <w:tcMar>
              <w:top w:w="80" w:type="dxa"/>
              <w:bottom w:w="80" w:type="dxa"/>
              <w:left w:w="120" w:type="dxa"/>
              <w:right w:w="120" w:type="dxa"/>
            </w:tcMar>
          </w:tcPr>
          <w:p>
            <w:r>
              <w:rPr>
                <w:rFonts w:ascii="Arial" w:hAnsi="Arial"/>
                <w:sz w:val="17"/>
              </w:rPr>
              <w:t>Derived flag</w:t>
            </w:r>
          </w:p>
        </w:tc>
        <w:tc>
          <w:tcPr>
            <w:tcW w:type="dxa" w:w="3168"/>
            <w:shd w:fill="FFFFFF"/>
            <w:tcMar>
              <w:top w:w="80" w:type="dxa"/>
              <w:bottom w:w="80" w:type="dxa"/>
              <w:left w:w="120" w:type="dxa"/>
              <w:right w:w="120" w:type="dxa"/>
            </w:tcMar>
          </w:tcPr>
          <w:p>
            <w:r>
              <w:rPr>
                <w:rFonts w:ascii="Arial" w:hAnsi="Arial"/>
                <w:sz w:val="17"/>
              </w:rPr>
              <w:t>Binary flag indicating basement existence (1=Yes, 0=No)</w:t>
            </w:r>
          </w:p>
        </w:tc>
      </w:tr>
    </w:tbl>
    <w:p>
      <w:pPr>
        <w:spacing w:after="120"/>
      </w:pPr>
    </w:p>
    <w:p>
      <w:pPr>
        <w:pStyle w:val="Heading1"/>
        <w:spacing w:before="240" w:after="80"/>
      </w:pPr>
      <w:r>
        <w:rPr>
          <w:b/>
          <w:color w:val="1A365D"/>
          <w:sz w:val="32"/>
        </w:rPr>
        <w:t>3. Data Governance &amp; Relational Constraint Rules</w:t>
      </w:r>
    </w:p>
    <w:p>
      <w:r>
        <w:t>Data governance rules are enforced at the DDL table creation level to prevent dirty, malformed, or corrupt records from entering the analytical repository. The table below details active constraints: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1A365D"/>
            <w:tcMar>
              <w:top w:w="120" w:type="dxa"/>
              <w:bottom w:w="120" w:type="dxa"/>
              <w:left w:w="150" w:type="dxa"/>
              <w:right w:w="150" w:type="dxa"/>
            </w:tcMar>
          </w:tcPr>
          <w:p>
            <w:pPr>
              <w:jc w:val="left"/>
            </w:pPr>
            <w:r>
              <w:rPr>
                <w:rFonts w:ascii="Arial" w:hAnsi="Arial"/>
                <w:b/>
                <w:color w:val="FFFFFF"/>
                <w:sz w:val="19"/>
              </w:rPr>
              <w:t>Rule Category</w:t>
            </w:r>
          </w:p>
        </w:tc>
        <w:tc>
          <w:tcPr>
            <w:tcW w:type="dxa" w:w="1872"/>
            <w:shd w:fill="1A365D"/>
            <w:tcMar>
              <w:top w:w="120" w:type="dxa"/>
              <w:bottom w:w="120" w:type="dxa"/>
              <w:left w:w="150" w:type="dxa"/>
              <w:right w:w="150" w:type="dxa"/>
            </w:tcMar>
          </w:tcPr>
          <w:p>
            <w:pPr>
              <w:jc w:val="left"/>
            </w:pPr>
            <w:r>
              <w:rPr>
                <w:rFonts w:ascii="Arial" w:hAnsi="Arial"/>
                <w:b/>
                <w:color w:val="FFFFFF"/>
                <w:sz w:val="19"/>
              </w:rPr>
              <w:t>Target Table</w:t>
            </w:r>
          </w:p>
        </w:tc>
        <w:tc>
          <w:tcPr>
            <w:tcW w:type="dxa" w:w="1728"/>
            <w:shd w:fill="1A365D"/>
            <w:tcMar>
              <w:top w:w="120" w:type="dxa"/>
              <w:bottom w:w="120" w:type="dxa"/>
              <w:left w:w="150" w:type="dxa"/>
              <w:right w:w="150" w:type="dxa"/>
            </w:tcMar>
          </w:tcPr>
          <w:p>
            <w:pPr>
              <w:jc w:val="left"/>
            </w:pPr>
            <w:r>
              <w:rPr>
                <w:rFonts w:ascii="Arial" w:hAnsi="Arial"/>
                <w:b/>
                <w:color w:val="FFFFFF"/>
                <w:sz w:val="19"/>
              </w:rPr>
              <w:t>Target Column(s)</w:t>
            </w:r>
          </w:p>
        </w:tc>
        <w:tc>
          <w:tcPr>
            <w:tcW w:type="dxa" w:w="2304"/>
            <w:shd w:fill="1A365D"/>
            <w:tcMar>
              <w:top w:w="120" w:type="dxa"/>
              <w:bottom w:w="120" w:type="dxa"/>
              <w:left w:w="150" w:type="dxa"/>
              <w:right w:w="150" w:type="dxa"/>
            </w:tcMar>
          </w:tcPr>
          <w:p>
            <w:pPr>
              <w:jc w:val="left"/>
            </w:pPr>
            <w:r>
              <w:rPr>
                <w:rFonts w:ascii="Arial" w:hAnsi="Arial"/>
                <w:b/>
                <w:color w:val="FFFFFF"/>
                <w:sz w:val="19"/>
              </w:rPr>
              <w:t>Enforced Constraint</w:t>
            </w:r>
          </w:p>
        </w:tc>
        <w:tc>
          <w:tcPr>
            <w:tcW w:type="dxa" w:w="2736"/>
            <w:shd w:fill="1A365D"/>
            <w:tcMar>
              <w:top w:w="120" w:type="dxa"/>
              <w:bottom w:w="120" w:type="dxa"/>
              <w:left w:w="150" w:type="dxa"/>
              <w:right w:w="150" w:type="dxa"/>
            </w:tcMar>
          </w:tcPr>
          <w:p>
            <w:pPr>
              <w:jc w:val="left"/>
            </w:pPr>
            <w:r>
              <w:rPr>
                <w:rFonts w:ascii="Arial" w:hAnsi="Arial"/>
                <w:b/>
                <w:color w:val="FFFFFF"/>
                <w:sz w:val="19"/>
              </w:rPr>
              <w:t>Business Rationale</w:t>
            </w:r>
          </w:p>
        </w:tc>
      </w:tr>
      <w:tr>
        <w:tc>
          <w:tcPr>
            <w:tcW w:type="dxa" w:w="1728"/>
            <w:shd w:fill="FFFFFF"/>
            <w:tcMar>
              <w:top w:w="80" w:type="dxa"/>
              <w:bottom w:w="80" w:type="dxa"/>
              <w:left w:w="120" w:type="dxa"/>
              <w:right w:w="120" w:type="dxa"/>
            </w:tcMar>
          </w:tcPr>
          <w:p>
            <w:r>
              <w:rPr>
                <w:rFonts w:ascii="Arial" w:hAnsi="Arial"/>
                <w:sz w:val="17"/>
              </w:rPr>
              <w:t>Financial Integrity</w:t>
            </w:r>
          </w:p>
        </w:tc>
        <w:tc>
          <w:tcPr>
            <w:tcW w:type="dxa" w:w="1872"/>
            <w:shd w:fill="FFFFFF"/>
            <w:tcMar>
              <w:top w:w="80" w:type="dxa"/>
              <w:bottom w:w="80" w:type="dxa"/>
              <w:left w:w="120" w:type="dxa"/>
              <w:right w:w="120" w:type="dxa"/>
            </w:tcMar>
          </w:tcPr>
          <w:p>
            <w:r>
              <w:rPr>
                <w:rFonts w:ascii="Arial" w:hAnsi="Arial"/>
                <w:sz w:val="17"/>
              </w:rPr>
              <w:t>fact_property_sales</w:t>
            </w:r>
          </w:p>
        </w:tc>
        <w:tc>
          <w:tcPr>
            <w:tcW w:type="dxa" w:w="1728"/>
            <w:shd w:fill="FFFFFF"/>
            <w:tcMar>
              <w:top w:w="80" w:type="dxa"/>
              <w:bottom w:w="80" w:type="dxa"/>
              <w:left w:w="120" w:type="dxa"/>
              <w:right w:w="120" w:type="dxa"/>
            </w:tcMar>
          </w:tcPr>
          <w:p>
            <w:r>
              <w:rPr>
                <w:rFonts w:ascii="Arial" w:hAnsi="Arial"/>
                <w:sz w:val="17"/>
              </w:rPr>
              <w:t>price</w:t>
            </w:r>
          </w:p>
        </w:tc>
        <w:tc>
          <w:tcPr>
            <w:tcW w:type="dxa" w:w="2304"/>
            <w:shd w:fill="FFFFFF"/>
            <w:tcMar>
              <w:top w:w="80" w:type="dxa"/>
              <w:bottom w:w="80" w:type="dxa"/>
              <w:left w:w="120" w:type="dxa"/>
              <w:right w:w="120" w:type="dxa"/>
            </w:tcMar>
          </w:tcPr>
          <w:p>
            <w:r>
              <w:rPr>
                <w:rFonts w:ascii="Arial" w:hAnsi="Arial"/>
                <w:sz w:val="17"/>
              </w:rPr>
              <w:t>CHECK (price &gt; 0.0)</w:t>
            </w:r>
          </w:p>
        </w:tc>
        <w:tc>
          <w:tcPr>
            <w:tcW w:type="dxa" w:w="2736"/>
            <w:shd w:fill="FFFFFF"/>
            <w:tcMar>
              <w:top w:w="80" w:type="dxa"/>
              <w:bottom w:w="80" w:type="dxa"/>
              <w:left w:w="120" w:type="dxa"/>
              <w:right w:w="120" w:type="dxa"/>
            </w:tcMar>
          </w:tcPr>
          <w:p>
            <w:r>
              <w:rPr>
                <w:rFonts w:ascii="Arial" w:hAnsi="Arial"/>
                <w:sz w:val="17"/>
              </w:rPr>
              <w:t>Guarantees closing sale prices are strictly positive.</w:t>
            </w:r>
          </w:p>
        </w:tc>
      </w:tr>
      <w:tr>
        <w:tc>
          <w:tcPr>
            <w:tcW w:type="dxa" w:w="1728"/>
            <w:shd w:fill="F7FAFC"/>
            <w:tcMar>
              <w:top w:w="80" w:type="dxa"/>
              <w:bottom w:w="80" w:type="dxa"/>
              <w:left w:w="120" w:type="dxa"/>
              <w:right w:w="120" w:type="dxa"/>
            </w:tcMar>
          </w:tcPr>
          <w:p>
            <w:r>
              <w:rPr>
                <w:rFonts w:ascii="Arial" w:hAnsi="Arial"/>
                <w:sz w:val="17"/>
              </w:rPr>
              <w:t>Physical Integrity</w:t>
            </w:r>
          </w:p>
        </w:tc>
        <w:tc>
          <w:tcPr>
            <w:tcW w:type="dxa" w:w="1872"/>
            <w:shd w:fill="F7FAFC"/>
            <w:tcMar>
              <w:top w:w="80" w:type="dxa"/>
              <w:bottom w:w="80" w:type="dxa"/>
              <w:left w:w="120" w:type="dxa"/>
              <w:right w:w="120" w:type="dxa"/>
            </w:tcMar>
          </w:tcPr>
          <w:p>
            <w:r>
              <w:rPr>
                <w:rFonts w:ascii="Arial" w:hAnsi="Arial"/>
                <w:sz w:val="17"/>
              </w:rPr>
              <w:t>fact_property_sales</w:t>
            </w:r>
          </w:p>
        </w:tc>
        <w:tc>
          <w:tcPr>
            <w:tcW w:type="dxa" w:w="1728"/>
            <w:shd w:fill="F7FAFC"/>
            <w:tcMar>
              <w:top w:w="80" w:type="dxa"/>
              <w:bottom w:w="80" w:type="dxa"/>
              <w:left w:w="120" w:type="dxa"/>
              <w:right w:w="120" w:type="dxa"/>
            </w:tcMar>
          </w:tcPr>
          <w:p>
            <w:r>
              <w:rPr>
                <w:rFonts w:ascii="Arial" w:hAnsi="Arial"/>
                <w:sz w:val="17"/>
              </w:rPr>
              <w:t>sqft_living, sqft_lot</w:t>
            </w:r>
          </w:p>
        </w:tc>
        <w:tc>
          <w:tcPr>
            <w:tcW w:type="dxa" w:w="2304"/>
            <w:shd w:fill="F7FAFC"/>
            <w:tcMar>
              <w:top w:w="80" w:type="dxa"/>
              <w:bottom w:w="80" w:type="dxa"/>
              <w:left w:w="120" w:type="dxa"/>
              <w:right w:w="120" w:type="dxa"/>
            </w:tcMar>
          </w:tcPr>
          <w:p>
            <w:r>
              <w:rPr>
                <w:rFonts w:ascii="Arial" w:hAnsi="Arial"/>
                <w:sz w:val="17"/>
              </w:rPr>
              <w:t>CHECK (sqft &gt; 0)</w:t>
            </w:r>
          </w:p>
        </w:tc>
        <w:tc>
          <w:tcPr>
            <w:tcW w:type="dxa" w:w="2736"/>
            <w:shd w:fill="F7FAFC"/>
            <w:tcMar>
              <w:top w:w="80" w:type="dxa"/>
              <w:bottom w:w="80" w:type="dxa"/>
              <w:left w:w="120" w:type="dxa"/>
              <w:right w:w="120" w:type="dxa"/>
            </w:tcMar>
          </w:tcPr>
          <w:p>
            <w:r>
              <w:rPr>
                <w:rFonts w:ascii="Arial" w:hAnsi="Arial"/>
                <w:sz w:val="17"/>
              </w:rPr>
              <w:t>Prevents zero or negative square footage anomalies.</w:t>
            </w:r>
          </w:p>
        </w:tc>
      </w:tr>
      <w:tr>
        <w:tc>
          <w:tcPr>
            <w:tcW w:type="dxa" w:w="1728"/>
            <w:shd w:fill="FFFFFF"/>
            <w:tcMar>
              <w:top w:w="80" w:type="dxa"/>
              <w:bottom w:w="80" w:type="dxa"/>
              <w:left w:w="120" w:type="dxa"/>
              <w:right w:w="120" w:type="dxa"/>
            </w:tcMar>
          </w:tcPr>
          <w:p>
            <w:r>
              <w:rPr>
                <w:rFonts w:ascii="Arial" w:hAnsi="Arial"/>
                <w:sz w:val="17"/>
              </w:rPr>
              <w:t>Unit Rate Integrity</w:t>
            </w:r>
          </w:p>
        </w:tc>
        <w:tc>
          <w:tcPr>
            <w:tcW w:type="dxa" w:w="1872"/>
            <w:shd w:fill="FFFFFF"/>
            <w:tcMar>
              <w:top w:w="80" w:type="dxa"/>
              <w:bottom w:w="80" w:type="dxa"/>
              <w:left w:w="120" w:type="dxa"/>
              <w:right w:w="120" w:type="dxa"/>
            </w:tcMar>
          </w:tcPr>
          <w:p>
            <w:r>
              <w:rPr>
                <w:rFonts w:ascii="Arial" w:hAnsi="Arial"/>
                <w:sz w:val="17"/>
              </w:rPr>
              <w:t>fact_property_sales</w:t>
            </w:r>
          </w:p>
        </w:tc>
        <w:tc>
          <w:tcPr>
            <w:tcW w:type="dxa" w:w="1728"/>
            <w:shd w:fill="FFFFFF"/>
            <w:tcMar>
              <w:top w:w="80" w:type="dxa"/>
              <w:bottom w:w="80" w:type="dxa"/>
              <w:left w:w="120" w:type="dxa"/>
              <w:right w:w="120" w:type="dxa"/>
            </w:tcMar>
          </w:tcPr>
          <w:p>
            <w:r>
              <w:rPr>
                <w:rFonts w:ascii="Arial" w:hAnsi="Arial"/>
                <w:sz w:val="17"/>
              </w:rPr>
              <w:t>price_per_sqft</w:t>
            </w:r>
          </w:p>
        </w:tc>
        <w:tc>
          <w:tcPr>
            <w:tcW w:type="dxa" w:w="2304"/>
            <w:shd w:fill="FFFFFF"/>
            <w:tcMar>
              <w:top w:w="80" w:type="dxa"/>
              <w:bottom w:w="80" w:type="dxa"/>
              <w:left w:w="120" w:type="dxa"/>
              <w:right w:w="120" w:type="dxa"/>
            </w:tcMar>
          </w:tcPr>
          <w:p>
            <w:r>
              <w:rPr>
                <w:rFonts w:ascii="Arial" w:hAnsi="Arial"/>
                <w:sz w:val="17"/>
              </w:rPr>
              <w:t>CHECK (price_per_sqft &gt; 0.0)</w:t>
            </w:r>
          </w:p>
        </w:tc>
        <w:tc>
          <w:tcPr>
            <w:tcW w:type="dxa" w:w="2736"/>
            <w:shd w:fill="FFFFFF"/>
            <w:tcMar>
              <w:top w:w="80" w:type="dxa"/>
              <w:bottom w:w="80" w:type="dxa"/>
              <w:left w:w="120" w:type="dxa"/>
              <w:right w:w="120" w:type="dxa"/>
            </w:tcMar>
          </w:tcPr>
          <w:p>
            <w:r>
              <w:rPr>
                <w:rFonts w:ascii="Arial" w:hAnsi="Arial"/>
                <w:sz w:val="17"/>
              </w:rPr>
              <w:t>Enforces calculated unit rate positivity.</w:t>
            </w:r>
          </w:p>
        </w:tc>
      </w:tr>
      <w:tr>
        <w:tc>
          <w:tcPr>
            <w:tcW w:type="dxa" w:w="1728"/>
            <w:shd w:fill="F7FAFC"/>
            <w:tcMar>
              <w:top w:w="80" w:type="dxa"/>
              <w:bottom w:w="80" w:type="dxa"/>
              <w:left w:w="120" w:type="dxa"/>
              <w:right w:w="120" w:type="dxa"/>
            </w:tcMar>
          </w:tcPr>
          <w:p>
            <w:r>
              <w:rPr>
                <w:rFonts w:ascii="Arial" w:hAnsi="Arial"/>
                <w:sz w:val="17"/>
              </w:rPr>
              <w:t>Structural Bounds</w:t>
            </w:r>
          </w:p>
        </w:tc>
        <w:tc>
          <w:tcPr>
            <w:tcW w:type="dxa" w:w="1872"/>
            <w:shd w:fill="F7FAFC"/>
            <w:tcMar>
              <w:top w:w="80" w:type="dxa"/>
              <w:bottom w:w="80" w:type="dxa"/>
              <w:left w:w="120" w:type="dxa"/>
              <w:right w:w="120" w:type="dxa"/>
            </w:tcMar>
          </w:tcPr>
          <w:p>
            <w:r>
              <w:rPr>
                <w:rFonts w:ascii="Arial" w:hAnsi="Arial"/>
                <w:sz w:val="17"/>
              </w:rPr>
              <w:t>dim_condition_grade</w:t>
            </w:r>
          </w:p>
        </w:tc>
        <w:tc>
          <w:tcPr>
            <w:tcW w:type="dxa" w:w="1728"/>
            <w:shd w:fill="F7FAFC"/>
            <w:tcMar>
              <w:top w:w="80" w:type="dxa"/>
              <w:bottom w:w="80" w:type="dxa"/>
              <w:left w:w="120" w:type="dxa"/>
              <w:right w:w="120" w:type="dxa"/>
            </w:tcMar>
          </w:tcPr>
          <w:p>
            <w:r>
              <w:rPr>
                <w:rFonts w:ascii="Arial" w:hAnsi="Arial"/>
                <w:sz w:val="17"/>
              </w:rPr>
              <w:t>grade</w:t>
            </w:r>
          </w:p>
        </w:tc>
        <w:tc>
          <w:tcPr>
            <w:tcW w:type="dxa" w:w="2304"/>
            <w:shd w:fill="F7FAFC"/>
            <w:tcMar>
              <w:top w:w="80" w:type="dxa"/>
              <w:bottom w:w="80" w:type="dxa"/>
              <w:left w:w="120" w:type="dxa"/>
              <w:right w:w="120" w:type="dxa"/>
            </w:tcMar>
          </w:tcPr>
          <w:p>
            <w:r>
              <w:rPr>
                <w:rFonts w:ascii="Arial" w:hAnsi="Arial"/>
                <w:sz w:val="17"/>
              </w:rPr>
              <w:t>CHECK (grade BETWEEN 1 AND 13)</w:t>
            </w:r>
          </w:p>
        </w:tc>
        <w:tc>
          <w:tcPr>
            <w:tcW w:type="dxa" w:w="2736"/>
            <w:shd w:fill="F7FAFC"/>
            <w:tcMar>
              <w:top w:w="80" w:type="dxa"/>
              <w:bottom w:w="80" w:type="dxa"/>
              <w:left w:w="120" w:type="dxa"/>
              <w:right w:w="120" w:type="dxa"/>
            </w:tcMar>
          </w:tcPr>
          <w:p>
            <w:r>
              <w:rPr>
                <w:rFonts w:ascii="Arial" w:hAnsi="Arial"/>
                <w:sz w:val="17"/>
              </w:rPr>
              <w:t>Enforces King County building code boundaries.</w:t>
            </w:r>
          </w:p>
        </w:tc>
      </w:tr>
      <w:tr>
        <w:tc>
          <w:tcPr>
            <w:tcW w:type="dxa" w:w="1728"/>
            <w:shd w:fill="FFFFFF"/>
            <w:tcMar>
              <w:top w:w="80" w:type="dxa"/>
              <w:bottom w:w="80" w:type="dxa"/>
              <w:left w:w="120" w:type="dxa"/>
              <w:right w:w="120" w:type="dxa"/>
            </w:tcMar>
          </w:tcPr>
          <w:p>
            <w:r>
              <w:rPr>
                <w:rFonts w:ascii="Arial" w:hAnsi="Arial"/>
                <w:sz w:val="17"/>
              </w:rPr>
              <w:t>Maintenance Bounds</w:t>
            </w:r>
          </w:p>
        </w:tc>
        <w:tc>
          <w:tcPr>
            <w:tcW w:type="dxa" w:w="1872"/>
            <w:shd w:fill="FFFFFF"/>
            <w:tcMar>
              <w:top w:w="80" w:type="dxa"/>
              <w:bottom w:w="80" w:type="dxa"/>
              <w:left w:w="120" w:type="dxa"/>
              <w:right w:w="120" w:type="dxa"/>
            </w:tcMar>
          </w:tcPr>
          <w:p>
            <w:r>
              <w:rPr>
                <w:rFonts w:ascii="Arial" w:hAnsi="Arial"/>
                <w:sz w:val="17"/>
              </w:rPr>
              <w:t>dim_condition_grade</w:t>
            </w:r>
          </w:p>
        </w:tc>
        <w:tc>
          <w:tcPr>
            <w:tcW w:type="dxa" w:w="1728"/>
            <w:shd w:fill="FFFFFF"/>
            <w:tcMar>
              <w:top w:w="80" w:type="dxa"/>
              <w:bottom w:w="80" w:type="dxa"/>
              <w:left w:w="120" w:type="dxa"/>
              <w:right w:w="120" w:type="dxa"/>
            </w:tcMar>
          </w:tcPr>
          <w:p>
            <w:r>
              <w:rPr>
                <w:rFonts w:ascii="Arial" w:hAnsi="Arial"/>
                <w:sz w:val="17"/>
              </w:rPr>
              <w:t>condition</w:t>
            </w:r>
          </w:p>
        </w:tc>
        <w:tc>
          <w:tcPr>
            <w:tcW w:type="dxa" w:w="2304"/>
            <w:shd w:fill="FFFFFF"/>
            <w:tcMar>
              <w:top w:w="80" w:type="dxa"/>
              <w:bottom w:w="80" w:type="dxa"/>
              <w:left w:w="120" w:type="dxa"/>
              <w:right w:w="120" w:type="dxa"/>
            </w:tcMar>
          </w:tcPr>
          <w:p>
            <w:r>
              <w:rPr>
                <w:rFonts w:ascii="Arial" w:hAnsi="Arial"/>
                <w:sz w:val="17"/>
              </w:rPr>
              <w:t>CHECK (condition BETWEEN 1 AND 5)</w:t>
            </w:r>
          </w:p>
        </w:tc>
        <w:tc>
          <w:tcPr>
            <w:tcW w:type="dxa" w:w="2736"/>
            <w:shd w:fill="FFFFFF"/>
            <w:tcMar>
              <w:top w:w="80" w:type="dxa"/>
              <w:bottom w:w="80" w:type="dxa"/>
              <w:left w:w="120" w:type="dxa"/>
              <w:right w:w="120" w:type="dxa"/>
            </w:tcMar>
          </w:tcPr>
          <w:p>
            <w:r>
              <w:rPr>
                <w:rFonts w:ascii="Arial" w:hAnsi="Arial"/>
                <w:sz w:val="17"/>
              </w:rPr>
              <w:t>Validates building condition inspection score.</w:t>
            </w:r>
          </w:p>
        </w:tc>
      </w:tr>
      <w:tr>
        <w:tc>
          <w:tcPr>
            <w:tcW w:type="dxa" w:w="1728"/>
            <w:shd w:fill="F7FAFC"/>
            <w:tcMar>
              <w:top w:w="80" w:type="dxa"/>
              <w:bottom w:w="80" w:type="dxa"/>
              <w:left w:w="120" w:type="dxa"/>
              <w:right w:w="120" w:type="dxa"/>
            </w:tcMar>
          </w:tcPr>
          <w:p>
            <w:r>
              <w:rPr>
                <w:rFonts w:ascii="Arial" w:hAnsi="Arial"/>
                <w:sz w:val="17"/>
              </w:rPr>
              <w:t>Temporal Integrity</w:t>
            </w:r>
          </w:p>
        </w:tc>
        <w:tc>
          <w:tcPr>
            <w:tcW w:type="dxa" w:w="1872"/>
            <w:shd w:fill="F7FAFC"/>
            <w:tcMar>
              <w:top w:w="80" w:type="dxa"/>
              <w:bottom w:w="80" w:type="dxa"/>
              <w:left w:w="120" w:type="dxa"/>
              <w:right w:w="120" w:type="dxa"/>
            </w:tcMar>
          </w:tcPr>
          <w:p>
            <w:r>
              <w:rPr>
                <w:rFonts w:ascii="Arial" w:hAnsi="Arial"/>
                <w:sz w:val="17"/>
              </w:rPr>
              <w:t>dim_property</w:t>
            </w:r>
          </w:p>
        </w:tc>
        <w:tc>
          <w:tcPr>
            <w:tcW w:type="dxa" w:w="1728"/>
            <w:shd w:fill="F7FAFC"/>
            <w:tcMar>
              <w:top w:w="80" w:type="dxa"/>
              <w:bottom w:w="80" w:type="dxa"/>
              <w:left w:w="120" w:type="dxa"/>
              <w:right w:w="120" w:type="dxa"/>
            </w:tcMar>
          </w:tcPr>
          <w:p>
            <w:r>
              <w:rPr>
                <w:rFonts w:ascii="Arial" w:hAnsi="Arial"/>
                <w:sz w:val="17"/>
              </w:rPr>
              <w:t>yr_built</w:t>
            </w:r>
          </w:p>
        </w:tc>
        <w:tc>
          <w:tcPr>
            <w:tcW w:type="dxa" w:w="2304"/>
            <w:shd w:fill="F7FAFC"/>
            <w:tcMar>
              <w:top w:w="80" w:type="dxa"/>
              <w:bottom w:w="80" w:type="dxa"/>
              <w:left w:w="120" w:type="dxa"/>
              <w:right w:w="120" w:type="dxa"/>
            </w:tcMar>
          </w:tcPr>
          <w:p>
            <w:r>
              <w:rPr>
                <w:rFonts w:ascii="Arial" w:hAnsi="Arial"/>
                <w:sz w:val="17"/>
              </w:rPr>
              <w:t>CHECK (yr_built BETWEEN 1800 AND 2050)</w:t>
            </w:r>
          </w:p>
        </w:tc>
        <w:tc>
          <w:tcPr>
            <w:tcW w:type="dxa" w:w="2736"/>
            <w:shd w:fill="F7FAFC"/>
            <w:tcMar>
              <w:top w:w="80" w:type="dxa"/>
              <w:bottom w:w="80" w:type="dxa"/>
              <w:left w:w="120" w:type="dxa"/>
              <w:right w:w="120" w:type="dxa"/>
            </w:tcMar>
          </w:tcPr>
          <w:p>
            <w:r>
              <w:rPr>
                <w:rFonts w:ascii="Arial" w:hAnsi="Arial"/>
                <w:sz w:val="17"/>
              </w:rPr>
              <w:t>Blocks corrupted vintage years.</w:t>
            </w:r>
          </w:p>
        </w:tc>
      </w:tr>
      <w:tr>
        <w:tc>
          <w:tcPr>
            <w:tcW w:type="dxa" w:w="1728"/>
            <w:shd w:fill="FFFFFF"/>
            <w:tcMar>
              <w:top w:w="80" w:type="dxa"/>
              <w:bottom w:w="80" w:type="dxa"/>
              <w:left w:w="120" w:type="dxa"/>
              <w:right w:w="120" w:type="dxa"/>
            </w:tcMar>
          </w:tcPr>
          <w:p>
            <w:r>
              <w:rPr>
                <w:rFonts w:ascii="Arial" w:hAnsi="Arial"/>
                <w:sz w:val="17"/>
              </w:rPr>
              <w:t>Spatial Bounds</w:t>
            </w:r>
          </w:p>
        </w:tc>
        <w:tc>
          <w:tcPr>
            <w:tcW w:type="dxa" w:w="1872"/>
            <w:shd w:fill="FFFFFF"/>
            <w:tcMar>
              <w:top w:w="80" w:type="dxa"/>
              <w:bottom w:w="80" w:type="dxa"/>
              <w:left w:w="120" w:type="dxa"/>
              <w:right w:w="120" w:type="dxa"/>
            </w:tcMar>
          </w:tcPr>
          <w:p>
            <w:r>
              <w:rPr>
                <w:rFonts w:ascii="Arial" w:hAnsi="Arial"/>
                <w:sz w:val="17"/>
              </w:rPr>
              <w:t>dim_location</w:t>
            </w:r>
          </w:p>
        </w:tc>
        <w:tc>
          <w:tcPr>
            <w:tcW w:type="dxa" w:w="1728"/>
            <w:shd w:fill="FFFFFF"/>
            <w:tcMar>
              <w:top w:w="80" w:type="dxa"/>
              <w:bottom w:w="80" w:type="dxa"/>
              <w:left w:w="120" w:type="dxa"/>
              <w:right w:w="120" w:type="dxa"/>
            </w:tcMar>
          </w:tcPr>
          <w:p>
            <w:r>
              <w:rPr>
                <w:rFonts w:ascii="Arial" w:hAnsi="Arial"/>
                <w:sz w:val="17"/>
              </w:rPr>
              <w:t>latitude, longitude</w:t>
            </w:r>
          </w:p>
        </w:tc>
        <w:tc>
          <w:tcPr>
            <w:tcW w:type="dxa" w:w="2304"/>
            <w:shd w:fill="FFFFFF"/>
            <w:tcMar>
              <w:top w:w="80" w:type="dxa"/>
              <w:bottom w:w="80" w:type="dxa"/>
              <w:left w:w="120" w:type="dxa"/>
              <w:right w:w="120" w:type="dxa"/>
            </w:tcMar>
          </w:tcPr>
          <w:p>
            <w:r>
              <w:rPr>
                <w:rFonts w:ascii="Arial" w:hAnsi="Arial"/>
                <w:sz w:val="17"/>
              </w:rPr>
              <w:t>CHECK (lat [-90,90], long [-180,180])</w:t>
            </w:r>
          </w:p>
        </w:tc>
        <w:tc>
          <w:tcPr>
            <w:tcW w:type="dxa" w:w="2736"/>
            <w:shd w:fill="FFFFFF"/>
            <w:tcMar>
              <w:top w:w="80" w:type="dxa"/>
              <w:bottom w:w="80" w:type="dxa"/>
              <w:left w:w="120" w:type="dxa"/>
              <w:right w:w="120" w:type="dxa"/>
            </w:tcMar>
          </w:tcPr>
          <w:p>
            <w:r>
              <w:rPr>
                <w:rFonts w:ascii="Arial" w:hAnsi="Arial"/>
                <w:sz w:val="17"/>
              </w:rPr>
              <w:t>Blocks out-of-range geodetic coordinates.</w:t>
            </w:r>
          </w:p>
        </w:tc>
      </w:tr>
      <w:tr>
        <w:tc>
          <w:tcPr>
            <w:tcW w:type="dxa" w:w="1728"/>
            <w:shd w:fill="F7FAFC"/>
            <w:tcMar>
              <w:top w:w="80" w:type="dxa"/>
              <w:bottom w:w="80" w:type="dxa"/>
              <w:left w:w="120" w:type="dxa"/>
              <w:right w:w="120" w:type="dxa"/>
            </w:tcMar>
          </w:tcPr>
          <w:p>
            <w:r>
              <w:rPr>
                <w:rFonts w:ascii="Arial" w:hAnsi="Arial"/>
                <w:sz w:val="17"/>
              </w:rPr>
              <w:t>Referential Integrity</w:t>
            </w:r>
          </w:p>
        </w:tc>
        <w:tc>
          <w:tcPr>
            <w:tcW w:type="dxa" w:w="1872"/>
            <w:shd w:fill="F7FAFC"/>
            <w:tcMar>
              <w:top w:w="80" w:type="dxa"/>
              <w:bottom w:w="80" w:type="dxa"/>
              <w:left w:w="120" w:type="dxa"/>
              <w:right w:w="120" w:type="dxa"/>
            </w:tcMar>
          </w:tcPr>
          <w:p>
            <w:r>
              <w:rPr>
                <w:rFonts w:ascii="Arial" w:hAnsi="Arial"/>
                <w:sz w:val="17"/>
              </w:rPr>
              <w:t>fact_property_sales</w:t>
            </w:r>
          </w:p>
        </w:tc>
        <w:tc>
          <w:tcPr>
            <w:tcW w:type="dxa" w:w="1728"/>
            <w:shd w:fill="F7FAFC"/>
            <w:tcMar>
              <w:top w:w="80" w:type="dxa"/>
              <w:bottom w:w="80" w:type="dxa"/>
              <w:left w:w="120" w:type="dxa"/>
              <w:right w:w="120" w:type="dxa"/>
            </w:tcMar>
          </w:tcPr>
          <w:p>
            <w:r>
              <w:rPr>
                <w:rFonts w:ascii="Arial" w:hAnsi="Arial"/>
                <w:sz w:val="17"/>
              </w:rPr>
              <w:t>Foreign Keys</w:t>
            </w:r>
          </w:p>
        </w:tc>
        <w:tc>
          <w:tcPr>
            <w:tcW w:type="dxa" w:w="2304"/>
            <w:shd w:fill="F7FAFC"/>
            <w:tcMar>
              <w:top w:w="80" w:type="dxa"/>
              <w:bottom w:w="80" w:type="dxa"/>
              <w:left w:w="120" w:type="dxa"/>
              <w:right w:w="120" w:type="dxa"/>
            </w:tcMar>
          </w:tcPr>
          <w:p>
            <w:r>
              <w:rPr>
                <w:rFonts w:ascii="Arial" w:hAnsi="Arial"/>
                <w:sz w:val="17"/>
              </w:rPr>
              <w:t>NOT NULL, ON DELETE RESTRICT</w:t>
            </w:r>
          </w:p>
        </w:tc>
        <w:tc>
          <w:tcPr>
            <w:tcW w:type="dxa" w:w="2736"/>
            <w:shd w:fill="F7FAFC"/>
            <w:tcMar>
              <w:top w:w="80" w:type="dxa"/>
              <w:bottom w:w="80" w:type="dxa"/>
              <w:left w:w="120" w:type="dxa"/>
              <w:right w:w="120" w:type="dxa"/>
            </w:tcMar>
          </w:tcPr>
          <w:p>
            <w:r>
              <w:rPr>
                <w:rFonts w:ascii="Arial" w:hAnsi="Arial"/>
                <w:sz w:val="17"/>
              </w:rPr>
              <w:t>Guarantees no orphaned transactional fact rows exist.</w:t>
            </w:r>
          </w:p>
        </w:tc>
      </w:tr>
    </w:tbl>
    <w:p>
      <w:pPr>
        <w:spacing w:after="120"/>
      </w:pPr>
    </w:p>
    <w:p>
      <w:pPr>
        <w:pStyle w:val="Heading1"/>
        <w:spacing w:before="240" w:after="80"/>
      </w:pPr>
      <w:r>
        <w:rPr>
          <w:b/>
          <w:color w:val="1A365D"/>
          <w:sz w:val="32"/>
        </w:rPr>
        <w:t>4. Document Store Schema &amp; $jsonSchema Governance (MongoDB)</w:t>
      </w:r>
    </w:p>
    <w:p>
      <w:r>
        <w:t>For non-relational nested analysis, documents in the 'property_architectural_features_governed' collection are strictly validated at ingestion time using MongoDB's $jsonSchema validator with validationLevel='strict' and validationAction='error'.</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168"/>
            <w:shd w:fill="1A365D"/>
            <w:tcMar>
              <w:top w:w="120" w:type="dxa"/>
              <w:bottom w:w="120" w:type="dxa"/>
              <w:left w:w="150" w:type="dxa"/>
              <w:right w:w="150" w:type="dxa"/>
            </w:tcMar>
          </w:tcPr>
          <w:p>
            <w:pPr>
              <w:jc w:val="left"/>
            </w:pPr>
            <w:r>
              <w:rPr>
                <w:rFonts w:ascii="Arial" w:hAnsi="Arial"/>
                <w:b/>
                <w:color w:val="FFFFFF"/>
                <w:sz w:val="19"/>
              </w:rPr>
              <w:t>BSON Field Path</w:t>
            </w:r>
          </w:p>
        </w:tc>
        <w:tc>
          <w:tcPr>
            <w:tcW w:type="dxa" w:w="1440"/>
            <w:shd w:fill="1A365D"/>
            <w:tcMar>
              <w:top w:w="120" w:type="dxa"/>
              <w:bottom w:w="120" w:type="dxa"/>
              <w:left w:w="150" w:type="dxa"/>
              <w:right w:w="150" w:type="dxa"/>
            </w:tcMar>
          </w:tcPr>
          <w:p>
            <w:pPr>
              <w:jc w:val="left"/>
            </w:pPr>
            <w:r>
              <w:rPr>
                <w:rFonts w:ascii="Arial" w:hAnsi="Arial"/>
                <w:b/>
                <w:color w:val="FFFFFF"/>
                <w:sz w:val="19"/>
              </w:rPr>
              <w:t>BSON Type</w:t>
            </w:r>
          </w:p>
        </w:tc>
        <w:tc>
          <w:tcPr>
            <w:tcW w:type="dxa" w:w="2160"/>
            <w:shd w:fill="1A365D"/>
            <w:tcMar>
              <w:top w:w="120" w:type="dxa"/>
              <w:bottom w:w="120" w:type="dxa"/>
              <w:left w:w="150" w:type="dxa"/>
              <w:right w:w="150" w:type="dxa"/>
            </w:tcMar>
          </w:tcPr>
          <w:p>
            <w:pPr>
              <w:jc w:val="left"/>
            </w:pPr>
            <w:r>
              <w:rPr>
                <w:rFonts w:ascii="Arial" w:hAnsi="Arial"/>
                <w:b/>
                <w:color w:val="FFFFFF"/>
                <w:sz w:val="19"/>
              </w:rPr>
              <w:t>Validation Rule</w:t>
            </w:r>
          </w:p>
        </w:tc>
        <w:tc>
          <w:tcPr>
            <w:tcW w:type="dxa" w:w="3600"/>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3168"/>
            <w:shd w:fill="FFFFFF"/>
            <w:tcMar>
              <w:top w:w="80" w:type="dxa"/>
              <w:bottom w:w="80" w:type="dxa"/>
              <w:left w:w="120" w:type="dxa"/>
              <w:right w:w="120" w:type="dxa"/>
            </w:tcMar>
          </w:tcPr>
          <w:p>
            <w:r>
              <w:rPr>
                <w:rFonts w:ascii="Arial" w:hAnsi="Arial"/>
                <w:sz w:val="17"/>
              </w:rPr>
              <w:t>_id / property_id</w:t>
            </w:r>
          </w:p>
        </w:tc>
        <w:tc>
          <w:tcPr>
            <w:tcW w:type="dxa" w:w="1440"/>
            <w:shd w:fill="FFFFFF"/>
            <w:tcMar>
              <w:top w:w="80" w:type="dxa"/>
              <w:bottom w:w="80" w:type="dxa"/>
              <w:left w:w="120" w:type="dxa"/>
              <w:right w:w="120" w:type="dxa"/>
            </w:tcMar>
          </w:tcPr>
          <w:p>
            <w:r>
              <w:rPr>
                <w:rFonts w:ascii="Arial" w:hAnsi="Arial"/>
                <w:sz w:val="17"/>
              </w:rPr>
              <w:t>int / long</w:t>
            </w:r>
          </w:p>
        </w:tc>
        <w:tc>
          <w:tcPr>
            <w:tcW w:type="dxa" w:w="2160"/>
            <w:shd w:fill="FFFFFF"/>
            <w:tcMar>
              <w:top w:w="80" w:type="dxa"/>
              <w:bottom w:w="80" w:type="dxa"/>
              <w:left w:w="120" w:type="dxa"/>
              <w:right w:w="120" w:type="dxa"/>
            </w:tcMar>
          </w:tcPr>
          <w:p>
            <w:r>
              <w:rPr>
                <w:rFonts w:ascii="Arial" w:hAnsi="Arial"/>
                <w:sz w:val="17"/>
              </w:rPr>
              <w:t>Required, Unique</w:t>
            </w:r>
          </w:p>
        </w:tc>
        <w:tc>
          <w:tcPr>
            <w:tcW w:type="dxa" w:w="3600"/>
            <w:shd w:fill="FFFFFF"/>
            <w:tcMar>
              <w:top w:w="80" w:type="dxa"/>
              <w:bottom w:w="80" w:type="dxa"/>
              <w:left w:w="120" w:type="dxa"/>
              <w:right w:w="120" w:type="dxa"/>
            </w:tcMar>
          </w:tcPr>
          <w:p>
            <w:r>
              <w:rPr>
                <w:rFonts w:ascii="Arial" w:hAnsi="Arial"/>
                <w:sz w:val="17"/>
              </w:rPr>
              <w:t>Unique numeric property identification.</w:t>
            </w:r>
          </w:p>
        </w:tc>
      </w:tr>
      <w:tr>
        <w:tc>
          <w:tcPr>
            <w:tcW w:type="dxa" w:w="3168"/>
            <w:shd w:fill="F7FAFC"/>
            <w:tcMar>
              <w:top w:w="80" w:type="dxa"/>
              <w:bottom w:w="80" w:type="dxa"/>
              <w:left w:w="120" w:type="dxa"/>
              <w:right w:w="120" w:type="dxa"/>
            </w:tcMar>
          </w:tcPr>
          <w:p>
            <w:r>
              <w:rPr>
                <w:rFonts w:ascii="Arial" w:hAnsi="Arial"/>
                <w:sz w:val="17"/>
              </w:rPr>
              <w:t>architectural_specs.bedrooms</w:t>
            </w:r>
          </w:p>
        </w:tc>
        <w:tc>
          <w:tcPr>
            <w:tcW w:type="dxa" w:w="1440"/>
            <w:shd w:fill="F7FAFC"/>
            <w:tcMar>
              <w:top w:w="80" w:type="dxa"/>
              <w:bottom w:w="80" w:type="dxa"/>
              <w:left w:w="120" w:type="dxa"/>
              <w:right w:w="120" w:type="dxa"/>
            </w:tcMar>
          </w:tcPr>
          <w:p>
            <w:r>
              <w:rPr>
                <w:rFonts w:ascii="Arial" w:hAnsi="Arial"/>
                <w:sz w:val="17"/>
              </w:rPr>
              <w:t>int</w:t>
            </w:r>
          </w:p>
        </w:tc>
        <w:tc>
          <w:tcPr>
            <w:tcW w:type="dxa" w:w="2160"/>
            <w:shd w:fill="F7FAFC"/>
            <w:tcMar>
              <w:top w:w="80" w:type="dxa"/>
              <w:bottom w:w="80" w:type="dxa"/>
              <w:left w:w="120" w:type="dxa"/>
              <w:right w:w="120" w:type="dxa"/>
            </w:tcMar>
          </w:tcPr>
          <w:p>
            <w:r>
              <w:rPr>
                <w:rFonts w:ascii="Arial" w:hAnsi="Arial"/>
                <w:sz w:val="17"/>
              </w:rPr>
              <w:t>minimum: 0</w:t>
            </w:r>
          </w:p>
        </w:tc>
        <w:tc>
          <w:tcPr>
            <w:tcW w:type="dxa" w:w="3600"/>
            <w:shd w:fill="F7FAFC"/>
            <w:tcMar>
              <w:top w:w="80" w:type="dxa"/>
              <w:bottom w:w="80" w:type="dxa"/>
              <w:left w:w="120" w:type="dxa"/>
              <w:right w:w="120" w:type="dxa"/>
            </w:tcMar>
          </w:tcPr>
          <w:p>
            <w:r>
              <w:rPr>
                <w:rFonts w:ascii="Arial" w:hAnsi="Arial"/>
                <w:sz w:val="17"/>
              </w:rPr>
              <w:t>Non-negative bedroom count.</w:t>
            </w:r>
          </w:p>
        </w:tc>
      </w:tr>
      <w:tr>
        <w:tc>
          <w:tcPr>
            <w:tcW w:type="dxa" w:w="3168"/>
            <w:shd w:fill="FFFFFF"/>
            <w:tcMar>
              <w:top w:w="80" w:type="dxa"/>
              <w:bottom w:w="80" w:type="dxa"/>
              <w:left w:w="120" w:type="dxa"/>
              <w:right w:w="120" w:type="dxa"/>
            </w:tcMar>
          </w:tcPr>
          <w:p>
            <w:r>
              <w:rPr>
                <w:rFonts w:ascii="Arial" w:hAnsi="Arial"/>
                <w:sz w:val="17"/>
              </w:rPr>
              <w:t>architectural_specs.bathrooms</w:t>
            </w:r>
          </w:p>
        </w:tc>
        <w:tc>
          <w:tcPr>
            <w:tcW w:type="dxa" w:w="1440"/>
            <w:shd w:fill="FFFFFF"/>
            <w:tcMar>
              <w:top w:w="80" w:type="dxa"/>
              <w:bottom w:w="80" w:type="dxa"/>
              <w:left w:w="120" w:type="dxa"/>
              <w:right w:w="120" w:type="dxa"/>
            </w:tcMar>
          </w:tcPr>
          <w:p>
            <w:r>
              <w:rPr>
                <w:rFonts w:ascii="Arial" w:hAnsi="Arial"/>
                <w:sz w:val="17"/>
              </w:rPr>
              <w:t>double / int</w:t>
            </w:r>
          </w:p>
        </w:tc>
        <w:tc>
          <w:tcPr>
            <w:tcW w:type="dxa" w:w="2160"/>
            <w:shd w:fill="FFFFFF"/>
            <w:tcMar>
              <w:top w:w="80" w:type="dxa"/>
              <w:bottom w:w="80" w:type="dxa"/>
              <w:left w:w="120" w:type="dxa"/>
              <w:right w:w="120" w:type="dxa"/>
            </w:tcMar>
          </w:tcPr>
          <w:p>
            <w:r>
              <w:rPr>
                <w:rFonts w:ascii="Arial" w:hAnsi="Arial"/>
                <w:sz w:val="17"/>
              </w:rPr>
              <w:t>minimum: 0.0</w:t>
            </w:r>
          </w:p>
        </w:tc>
        <w:tc>
          <w:tcPr>
            <w:tcW w:type="dxa" w:w="3600"/>
            <w:shd w:fill="FFFFFF"/>
            <w:tcMar>
              <w:top w:w="80" w:type="dxa"/>
              <w:bottom w:w="80" w:type="dxa"/>
              <w:left w:w="120" w:type="dxa"/>
              <w:right w:w="120" w:type="dxa"/>
            </w:tcMar>
          </w:tcPr>
          <w:p>
            <w:r>
              <w:rPr>
                <w:rFonts w:ascii="Arial" w:hAnsi="Arial"/>
                <w:sz w:val="17"/>
              </w:rPr>
              <w:t>Non-negative bathroom count.</w:t>
            </w:r>
          </w:p>
        </w:tc>
      </w:tr>
      <w:tr>
        <w:tc>
          <w:tcPr>
            <w:tcW w:type="dxa" w:w="3168"/>
            <w:shd w:fill="F7FAFC"/>
            <w:tcMar>
              <w:top w:w="80" w:type="dxa"/>
              <w:bottom w:w="80" w:type="dxa"/>
              <w:left w:w="120" w:type="dxa"/>
              <w:right w:w="120" w:type="dxa"/>
            </w:tcMar>
          </w:tcPr>
          <w:p>
            <w:r>
              <w:rPr>
                <w:rFonts w:ascii="Arial" w:hAnsi="Arial"/>
                <w:sz w:val="17"/>
              </w:rPr>
              <w:t>architectural_specs.sqft_living</w:t>
            </w:r>
          </w:p>
        </w:tc>
        <w:tc>
          <w:tcPr>
            <w:tcW w:type="dxa" w:w="1440"/>
            <w:shd w:fill="F7FAFC"/>
            <w:tcMar>
              <w:top w:w="80" w:type="dxa"/>
              <w:bottom w:w="80" w:type="dxa"/>
              <w:left w:w="120" w:type="dxa"/>
              <w:right w:w="120" w:type="dxa"/>
            </w:tcMar>
          </w:tcPr>
          <w:p>
            <w:r>
              <w:rPr>
                <w:rFonts w:ascii="Arial" w:hAnsi="Arial"/>
                <w:sz w:val="17"/>
              </w:rPr>
              <w:t>int</w:t>
            </w:r>
          </w:p>
        </w:tc>
        <w:tc>
          <w:tcPr>
            <w:tcW w:type="dxa" w:w="2160"/>
            <w:shd w:fill="F7FAFC"/>
            <w:tcMar>
              <w:top w:w="80" w:type="dxa"/>
              <w:bottom w:w="80" w:type="dxa"/>
              <w:left w:w="120" w:type="dxa"/>
              <w:right w:w="120" w:type="dxa"/>
            </w:tcMar>
          </w:tcPr>
          <w:p>
            <w:r>
              <w:rPr>
                <w:rFonts w:ascii="Arial" w:hAnsi="Arial"/>
                <w:sz w:val="17"/>
              </w:rPr>
              <w:t>minimum: 1</w:t>
            </w:r>
          </w:p>
        </w:tc>
        <w:tc>
          <w:tcPr>
            <w:tcW w:type="dxa" w:w="3600"/>
            <w:shd w:fill="F7FAFC"/>
            <w:tcMar>
              <w:top w:w="80" w:type="dxa"/>
              <w:bottom w:w="80" w:type="dxa"/>
              <w:left w:w="120" w:type="dxa"/>
              <w:right w:w="120" w:type="dxa"/>
            </w:tcMar>
          </w:tcPr>
          <w:p>
            <w:r>
              <w:rPr>
                <w:rFonts w:ascii="Arial" w:hAnsi="Arial"/>
                <w:sz w:val="17"/>
              </w:rPr>
              <w:t>Strictly positive interior living area.</w:t>
            </w:r>
          </w:p>
        </w:tc>
      </w:tr>
      <w:tr>
        <w:tc>
          <w:tcPr>
            <w:tcW w:type="dxa" w:w="3168"/>
            <w:shd w:fill="FFFFFF"/>
            <w:tcMar>
              <w:top w:w="80" w:type="dxa"/>
              <w:bottom w:w="80" w:type="dxa"/>
              <w:left w:w="120" w:type="dxa"/>
              <w:right w:w="120" w:type="dxa"/>
            </w:tcMar>
          </w:tcPr>
          <w:p>
            <w:r>
              <w:rPr>
                <w:rFonts w:ascii="Arial" w:hAnsi="Arial"/>
                <w:sz w:val="17"/>
              </w:rPr>
              <w:t>evaluation_metrics.grade</w:t>
            </w:r>
          </w:p>
        </w:tc>
        <w:tc>
          <w:tcPr>
            <w:tcW w:type="dxa" w:w="1440"/>
            <w:shd w:fill="FFFFFF"/>
            <w:tcMar>
              <w:top w:w="80" w:type="dxa"/>
              <w:bottom w:w="80" w:type="dxa"/>
              <w:left w:w="120" w:type="dxa"/>
              <w:right w:w="120" w:type="dxa"/>
            </w:tcMar>
          </w:tcPr>
          <w:p>
            <w:r>
              <w:rPr>
                <w:rFonts w:ascii="Arial" w:hAnsi="Arial"/>
                <w:sz w:val="17"/>
              </w:rPr>
              <w:t>int</w:t>
            </w:r>
          </w:p>
        </w:tc>
        <w:tc>
          <w:tcPr>
            <w:tcW w:type="dxa" w:w="2160"/>
            <w:shd w:fill="FFFFFF"/>
            <w:tcMar>
              <w:top w:w="80" w:type="dxa"/>
              <w:bottom w:w="80" w:type="dxa"/>
              <w:left w:w="120" w:type="dxa"/>
              <w:right w:w="120" w:type="dxa"/>
            </w:tcMar>
          </w:tcPr>
          <w:p>
            <w:r>
              <w:rPr>
                <w:rFonts w:ascii="Arial" w:hAnsi="Arial"/>
                <w:sz w:val="17"/>
              </w:rPr>
              <w:t>minimum: 1, maximum: 13</w:t>
            </w:r>
          </w:p>
        </w:tc>
        <w:tc>
          <w:tcPr>
            <w:tcW w:type="dxa" w:w="3600"/>
            <w:shd w:fill="FFFFFF"/>
            <w:tcMar>
              <w:top w:w="80" w:type="dxa"/>
              <w:bottom w:w="80" w:type="dxa"/>
              <w:left w:w="120" w:type="dxa"/>
              <w:right w:w="120" w:type="dxa"/>
            </w:tcMar>
          </w:tcPr>
          <w:p>
            <w:r>
              <w:rPr>
                <w:rFonts w:ascii="Arial" w:hAnsi="Arial"/>
                <w:sz w:val="17"/>
              </w:rPr>
              <w:t>Enforces valid architectural quality range.</w:t>
            </w:r>
          </w:p>
        </w:tc>
      </w:tr>
      <w:tr>
        <w:tc>
          <w:tcPr>
            <w:tcW w:type="dxa" w:w="3168"/>
            <w:shd w:fill="F7FAFC"/>
            <w:tcMar>
              <w:top w:w="80" w:type="dxa"/>
              <w:bottom w:w="80" w:type="dxa"/>
              <w:left w:w="120" w:type="dxa"/>
              <w:right w:w="120" w:type="dxa"/>
            </w:tcMar>
          </w:tcPr>
          <w:p>
            <w:r>
              <w:rPr>
                <w:rFonts w:ascii="Arial" w:hAnsi="Arial"/>
                <w:sz w:val="17"/>
              </w:rPr>
              <w:t>evaluation_metrics.condition</w:t>
            </w:r>
          </w:p>
        </w:tc>
        <w:tc>
          <w:tcPr>
            <w:tcW w:type="dxa" w:w="1440"/>
            <w:shd w:fill="F7FAFC"/>
            <w:tcMar>
              <w:top w:w="80" w:type="dxa"/>
              <w:bottom w:w="80" w:type="dxa"/>
              <w:left w:w="120" w:type="dxa"/>
              <w:right w:w="120" w:type="dxa"/>
            </w:tcMar>
          </w:tcPr>
          <w:p>
            <w:r>
              <w:rPr>
                <w:rFonts w:ascii="Arial" w:hAnsi="Arial"/>
                <w:sz w:val="17"/>
              </w:rPr>
              <w:t>int</w:t>
            </w:r>
          </w:p>
        </w:tc>
        <w:tc>
          <w:tcPr>
            <w:tcW w:type="dxa" w:w="2160"/>
            <w:shd w:fill="F7FAFC"/>
            <w:tcMar>
              <w:top w:w="80" w:type="dxa"/>
              <w:bottom w:w="80" w:type="dxa"/>
              <w:left w:w="120" w:type="dxa"/>
              <w:right w:w="120" w:type="dxa"/>
            </w:tcMar>
          </w:tcPr>
          <w:p>
            <w:r>
              <w:rPr>
                <w:rFonts w:ascii="Arial" w:hAnsi="Arial"/>
                <w:sz w:val="17"/>
              </w:rPr>
              <w:t>minimum: 1, maximum: 5</w:t>
            </w:r>
          </w:p>
        </w:tc>
        <w:tc>
          <w:tcPr>
            <w:tcW w:type="dxa" w:w="3600"/>
            <w:shd w:fill="F7FAFC"/>
            <w:tcMar>
              <w:top w:w="80" w:type="dxa"/>
              <w:bottom w:w="80" w:type="dxa"/>
              <w:left w:w="120" w:type="dxa"/>
              <w:right w:w="120" w:type="dxa"/>
            </w:tcMar>
          </w:tcPr>
          <w:p>
            <w:r>
              <w:rPr>
                <w:rFonts w:ascii="Arial" w:hAnsi="Arial"/>
                <w:sz w:val="17"/>
              </w:rPr>
              <w:t>Enforces physical inspection rating scale.</w:t>
            </w:r>
          </w:p>
        </w:tc>
      </w:tr>
      <w:tr>
        <w:tc>
          <w:tcPr>
            <w:tcW w:type="dxa" w:w="3168"/>
            <w:shd w:fill="FFFFFF"/>
            <w:tcMar>
              <w:top w:w="80" w:type="dxa"/>
              <w:bottom w:w="80" w:type="dxa"/>
              <w:left w:w="120" w:type="dxa"/>
              <w:right w:w="120" w:type="dxa"/>
            </w:tcMar>
          </w:tcPr>
          <w:p>
            <w:r>
              <w:rPr>
                <w:rFonts w:ascii="Arial" w:hAnsi="Arial"/>
                <w:sz w:val="17"/>
              </w:rPr>
              <w:t>neighborhood_context.zipcode</w:t>
            </w:r>
          </w:p>
        </w:tc>
        <w:tc>
          <w:tcPr>
            <w:tcW w:type="dxa" w:w="1440"/>
            <w:shd w:fill="FFFFFF"/>
            <w:tcMar>
              <w:top w:w="80" w:type="dxa"/>
              <w:bottom w:w="80" w:type="dxa"/>
              <w:left w:w="120" w:type="dxa"/>
              <w:right w:w="120" w:type="dxa"/>
            </w:tcMar>
          </w:tcPr>
          <w:p>
            <w:r>
              <w:rPr>
                <w:rFonts w:ascii="Arial" w:hAnsi="Arial"/>
                <w:sz w:val="17"/>
              </w:rPr>
              <w:t>string</w:t>
            </w:r>
          </w:p>
        </w:tc>
        <w:tc>
          <w:tcPr>
            <w:tcW w:type="dxa" w:w="2160"/>
            <w:shd w:fill="FFFFFF"/>
            <w:tcMar>
              <w:top w:w="80" w:type="dxa"/>
              <w:bottom w:w="80" w:type="dxa"/>
              <w:left w:w="120" w:type="dxa"/>
              <w:right w:w="120" w:type="dxa"/>
            </w:tcMar>
          </w:tcPr>
          <w:p>
            <w:r>
              <w:rPr>
                <w:rFonts w:ascii="Arial" w:hAnsi="Arial"/>
                <w:sz w:val="17"/>
              </w:rPr>
              <w:t>pattern: '^[0-9]{5}$'</w:t>
            </w:r>
          </w:p>
        </w:tc>
        <w:tc>
          <w:tcPr>
            <w:tcW w:type="dxa" w:w="3600"/>
            <w:shd w:fill="FFFFFF"/>
            <w:tcMar>
              <w:top w:w="80" w:type="dxa"/>
              <w:bottom w:w="80" w:type="dxa"/>
              <w:left w:w="120" w:type="dxa"/>
              <w:right w:w="120" w:type="dxa"/>
            </w:tcMar>
          </w:tcPr>
          <w:p>
            <w:r>
              <w:rPr>
                <w:rFonts w:ascii="Arial" w:hAnsi="Arial"/>
                <w:sz w:val="17"/>
              </w:rPr>
              <w:t>Enforces 5-digit US postal code regex.</w:t>
            </w:r>
          </w:p>
        </w:tc>
      </w:tr>
      <w:tr>
        <w:tc>
          <w:tcPr>
            <w:tcW w:type="dxa" w:w="3168"/>
            <w:shd w:fill="F7FAFC"/>
            <w:tcMar>
              <w:top w:w="80" w:type="dxa"/>
              <w:bottom w:w="80" w:type="dxa"/>
              <w:left w:w="120" w:type="dxa"/>
              <w:right w:w="120" w:type="dxa"/>
            </w:tcMar>
          </w:tcPr>
          <w:p>
            <w:r>
              <w:rPr>
                <w:rFonts w:ascii="Arial" w:hAnsi="Arial"/>
                <w:sz w:val="17"/>
              </w:rPr>
              <w:t>neighborhood_context.location</w:t>
            </w:r>
          </w:p>
        </w:tc>
        <w:tc>
          <w:tcPr>
            <w:tcW w:type="dxa" w:w="1440"/>
            <w:shd w:fill="F7FAFC"/>
            <w:tcMar>
              <w:top w:w="80" w:type="dxa"/>
              <w:bottom w:w="80" w:type="dxa"/>
              <w:left w:w="120" w:type="dxa"/>
              <w:right w:w="120" w:type="dxa"/>
            </w:tcMar>
          </w:tcPr>
          <w:p>
            <w:r>
              <w:rPr>
                <w:rFonts w:ascii="Arial" w:hAnsi="Arial"/>
                <w:sz w:val="17"/>
              </w:rPr>
              <w:t>object</w:t>
            </w:r>
          </w:p>
        </w:tc>
        <w:tc>
          <w:tcPr>
            <w:tcW w:type="dxa" w:w="2160"/>
            <w:shd w:fill="F7FAFC"/>
            <w:tcMar>
              <w:top w:w="80" w:type="dxa"/>
              <w:bottom w:w="80" w:type="dxa"/>
              <w:left w:w="120" w:type="dxa"/>
              <w:right w:w="120" w:type="dxa"/>
            </w:tcMar>
          </w:tcPr>
          <w:p>
            <w:r>
              <w:rPr>
                <w:rFonts w:ascii="Arial" w:hAnsi="Arial"/>
                <w:sz w:val="17"/>
              </w:rPr>
              <w:t>GeoJSON Point [lng, lat]</w:t>
            </w:r>
          </w:p>
        </w:tc>
        <w:tc>
          <w:tcPr>
            <w:tcW w:type="dxa" w:w="3600"/>
            <w:shd w:fill="F7FAFC"/>
            <w:tcMar>
              <w:top w:w="80" w:type="dxa"/>
              <w:bottom w:w="80" w:type="dxa"/>
              <w:left w:w="120" w:type="dxa"/>
              <w:right w:w="120" w:type="dxa"/>
            </w:tcMar>
          </w:tcPr>
          <w:p>
            <w:r>
              <w:rPr>
                <w:rFonts w:ascii="Arial" w:hAnsi="Arial"/>
                <w:sz w:val="17"/>
              </w:rPr>
              <w:t>Spatial 2dsphere indexing and geo queries.</w:t>
            </w:r>
          </w:p>
        </w:tc>
      </w:tr>
      <w:tr>
        <w:tc>
          <w:tcPr>
            <w:tcW w:type="dxa" w:w="3168"/>
            <w:shd w:fill="FFFFFF"/>
            <w:tcMar>
              <w:top w:w="80" w:type="dxa"/>
              <w:bottom w:w="80" w:type="dxa"/>
              <w:left w:w="120" w:type="dxa"/>
              <w:right w:w="120" w:type="dxa"/>
            </w:tcMar>
          </w:tcPr>
          <w:p>
            <w:r>
              <w:rPr>
                <w:rFonts w:ascii="Arial" w:hAnsi="Arial"/>
                <w:sz w:val="17"/>
              </w:rPr>
              <w:t>sales_history.price</w:t>
            </w:r>
          </w:p>
        </w:tc>
        <w:tc>
          <w:tcPr>
            <w:tcW w:type="dxa" w:w="1440"/>
            <w:shd w:fill="FFFFFF"/>
            <w:tcMar>
              <w:top w:w="80" w:type="dxa"/>
              <w:bottom w:w="80" w:type="dxa"/>
              <w:left w:w="120" w:type="dxa"/>
              <w:right w:w="120" w:type="dxa"/>
            </w:tcMar>
          </w:tcPr>
          <w:p>
            <w:r>
              <w:rPr>
                <w:rFonts w:ascii="Arial" w:hAnsi="Arial"/>
                <w:sz w:val="17"/>
              </w:rPr>
              <w:t>double / int</w:t>
            </w:r>
          </w:p>
        </w:tc>
        <w:tc>
          <w:tcPr>
            <w:tcW w:type="dxa" w:w="2160"/>
            <w:shd w:fill="FFFFFF"/>
            <w:tcMar>
              <w:top w:w="80" w:type="dxa"/>
              <w:bottom w:w="80" w:type="dxa"/>
              <w:left w:w="120" w:type="dxa"/>
              <w:right w:w="120" w:type="dxa"/>
            </w:tcMar>
          </w:tcPr>
          <w:p>
            <w:r>
              <w:rPr>
                <w:rFonts w:ascii="Arial" w:hAnsi="Arial"/>
                <w:sz w:val="17"/>
              </w:rPr>
              <w:t>minimum: 1.0</w:t>
            </w:r>
          </w:p>
        </w:tc>
        <w:tc>
          <w:tcPr>
            <w:tcW w:type="dxa" w:w="3600"/>
            <w:shd w:fill="FFFFFF"/>
            <w:tcMar>
              <w:top w:w="80" w:type="dxa"/>
              <w:bottom w:w="80" w:type="dxa"/>
              <w:left w:w="120" w:type="dxa"/>
              <w:right w:w="120" w:type="dxa"/>
            </w:tcMar>
          </w:tcPr>
          <w:p>
            <w:r>
              <w:rPr>
                <w:rFonts w:ascii="Arial" w:hAnsi="Arial"/>
                <w:sz w:val="17"/>
              </w:rPr>
              <w:t>Blocks negative or zero sales prices.</w:t>
            </w:r>
          </w:p>
        </w:tc>
      </w:tr>
    </w:tbl>
    <w:p>
      <w:pPr>
        <w:spacing w:after="120"/>
      </w:pPr>
    </w:p>
    <w:p>
      <w:pPr>
        <w:pStyle w:val="Heading1"/>
        <w:spacing w:before="240" w:after="80"/>
      </w:pPr>
      <w:r>
        <w:rPr>
          <w:b/>
          <w:color w:val="1A365D"/>
          <w:sz w:val="32"/>
        </w:rPr>
        <w:t>5. Departmental Data Mart Schema (property_valuation_mart.db)</w:t>
      </w:r>
    </w:p>
    <w:p>
      <w:r>
        <w:t>To isolate business intelligence reporting from transactional load, the departmental data mart extracts and materializes pre-aggregated property valuation summaries into an isolated SQLite database:</w:t>
      </w:r>
    </w:p>
    <w:p>
      <w:pPr>
        <w:pStyle w:val="Heading2"/>
        <w:spacing w:before="240" w:after="80"/>
      </w:pPr>
      <w:r>
        <w:rPr>
          <w:b/>
          <w:color w:val="2B547E"/>
          <w:sz w:val="26"/>
        </w:rPr>
        <w:t>Data Mart Table: monthly_property_valuation_mart</w:t>
      </w:r>
    </w:p>
    <w:p>
      <w:r>
        <w:t>Downstream aggregate table summarizing chronological market pricing and volume.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440"/>
            <w:shd w:fill="1A365D"/>
            <w:tcMar>
              <w:top w:w="120" w:type="dxa"/>
              <w:bottom w:w="120" w:type="dxa"/>
              <w:left w:w="150" w:type="dxa"/>
              <w:right w:w="150" w:type="dxa"/>
            </w:tcMar>
          </w:tcPr>
          <w:p>
            <w:pPr>
              <w:jc w:val="left"/>
            </w:pPr>
            <w:r>
              <w:rPr>
                <w:rFonts w:ascii="Arial" w:hAnsi="Arial"/>
                <w:b/>
                <w:color w:val="FFFFFF"/>
                <w:sz w:val="19"/>
              </w:rPr>
              <w:t>Data Type</w:t>
            </w:r>
          </w:p>
        </w:tc>
        <w:tc>
          <w:tcPr>
            <w:tcW w:type="dxa" w:w="2016"/>
            <w:shd w:fill="1A365D"/>
            <w:tcMar>
              <w:top w:w="120" w:type="dxa"/>
              <w:bottom w:w="120" w:type="dxa"/>
              <w:left w:w="150" w:type="dxa"/>
              <w:right w:w="150" w:type="dxa"/>
            </w:tcMar>
          </w:tcPr>
          <w:p>
            <w:pPr>
              <w:jc w:val="left"/>
            </w:pPr>
            <w:r>
              <w:rPr>
                <w:rFonts w:ascii="Arial" w:hAnsi="Arial"/>
                <w:b/>
                <w:color w:val="FFFFFF"/>
                <w:sz w:val="19"/>
              </w:rPr>
              <w:t>Constraints</w:t>
            </w:r>
          </w:p>
        </w:tc>
        <w:tc>
          <w:tcPr>
            <w:tcW w:type="dxa" w:w="4320"/>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2592"/>
            <w:shd w:fill="FFFFFF"/>
            <w:tcMar>
              <w:top w:w="80" w:type="dxa"/>
              <w:bottom w:w="80" w:type="dxa"/>
              <w:left w:w="120" w:type="dxa"/>
              <w:right w:w="120" w:type="dxa"/>
            </w:tcMar>
          </w:tcPr>
          <w:p>
            <w:r>
              <w:rPr>
                <w:rFonts w:ascii="Arial" w:hAnsi="Arial"/>
                <w:sz w:val="17"/>
              </w:rPr>
              <w:t>year</w:t>
            </w:r>
          </w:p>
        </w:tc>
        <w:tc>
          <w:tcPr>
            <w:tcW w:type="dxa" w:w="1440"/>
            <w:shd w:fill="FFFFFF"/>
            <w:tcMar>
              <w:top w:w="80" w:type="dxa"/>
              <w:bottom w:w="80" w:type="dxa"/>
              <w:left w:w="120" w:type="dxa"/>
              <w:right w:w="120" w:type="dxa"/>
            </w:tcMar>
          </w:tcPr>
          <w:p>
            <w:r>
              <w:rPr>
                <w:rFonts w:ascii="Arial" w:hAnsi="Arial"/>
                <w:sz w:val="17"/>
              </w:rPr>
              <w:t>INTEGER</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Calendar transaction year</w:t>
            </w:r>
          </w:p>
        </w:tc>
      </w:tr>
      <w:tr>
        <w:tc>
          <w:tcPr>
            <w:tcW w:type="dxa" w:w="2592"/>
            <w:shd w:fill="F7FAFC"/>
            <w:tcMar>
              <w:top w:w="80" w:type="dxa"/>
              <w:bottom w:w="80" w:type="dxa"/>
              <w:left w:w="120" w:type="dxa"/>
              <w:right w:w="120" w:type="dxa"/>
            </w:tcMar>
          </w:tcPr>
          <w:p>
            <w:r>
              <w:rPr>
                <w:rFonts w:ascii="Arial" w:hAnsi="Arial"/>
                <w:sz w:val="17"/>
              </w:rPr>
              <w:t>month</w:t>
            </w:r>
          </w:p>
        </w:tc>
        <w:tc>
          <w:tcPr>
            <w:tcW w:type="dxa" w:w="1440"/>
            <w:shd w:fill="F7FAFC"/>
            <w:tcMar>
              <w:top w:w="80" w:type="dxa"/>
              <w:bottom w:w="80" w:type="dxa"/>
              <w:left w:w="120" w:type="dxa"/>
              <w:right w:w="120" w:type="dxa"/>
            </w:tcMar>
          </w:tcPr>
          <w:p>
            <w:r>
              <w:rPr>
                <w:rFonts w:ascii="Arial" w:hAnsi="Arial"/>
                <w:sz w:val="17"/>
              </w:rPr>
              <w:t>INTEGER</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Calendar transaction month (1-12)</w:t>
            </w:r>
          </w:p>
        </w:tc>
      </w:tr>
      <w:tr>
        <w:tc>
          <w:tcPr>
            <w:tcW w:type="dxa" w:w="2592"/>
            <w:shd w:fill="FFFFFF"/>
            <w:tcMar>
              <w:top w:w="80" w:type="dxa"/>
              <w:bottom w:w="80" w:type="dxa"/>
              <w:left w:w="120" w:type="dxa"/>
              <w:right w:w="120" w:type="dxa"/>
            </w:tcMar>
          </w:tcPr>
          <w:p>
            <w:r>
              <w:rPr>
                <w:rFonts w:ascii="Arial" w:hAnsi="Arial"/>
                <w:sz w:val="17"/>
              </w:rPr>
              <w:t>month_name</w:t>
            </w:r>
          </w:p>
        </w:tc>
        <w:tc>
          <w:tcPr>
            <w:tcW w:type="dxa" w:w="1440"/>
            <w:shd w:fill="FFFFFF"/>
            <w:tcMar>
              <w:top w:w="80" w:type="dxa"/>
              <w:bottom w:w="80" w:type="dxa"/>
              <w:left w:w="120" w:type="dxa"/>
              <w:right w:w="120" w:type="dxa"/>
            </w:tcMar>
          </w:tcPr>
          <w:p>
            <w:r>
              <w:rPr>
                <w:rFonts w:ascii="Arial" w:hAnsi="Arial"/>
                <w:sz w:val="17"/>
              </w:rPr>
              <w:t>TEXT</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Full month name (e.g., 'May')</w:t>
            </w:r>
          </w:p>
        </w:tc>
      </w:tr>
      <w:tr>
        <w:tc>
          <w:tcPr>
            <w:tcW w:type="dxa" w:w="2592"/>
            <w:shd w:fill="F7FAFC"/>
            <w:tcMar>
              <w:top w:w="80" w:type="dxa"/>
              <w:bottom w:w="80" w:type="dxa"/>
              <w:left w:w="120" w:type="dxa"/>
              <w:right w:w="120" w:type="dxa"/>
            </w:tcMar>
          </w:tcPr>
          <w:p>
            <w:r>
              <w:rPr>
                <w:rFonts w:ascii="Arial" w:hAnsi="Arial"/>
                <w:sz w:val="17"/>
              </w:rPr>
              <w:t>total_transactions</w:t>
            </w:r>
          </w:p>
        </w:tc>
        <w:tc>
          <w:tcPr>
            <w:tcW w:type="dxa" w:w="1440"/>
            <w:shd w:fill="F7FAFC"/>
            <w:tcMar>
              <w:top w:w="80" w:type="dxa"/>
              <w:bottom w:w="80" w:type="dxa"/>
              <w:left w:w="120" w:type="dxa"/>
              <w:right w:w="120" w:type="dxa"/>
            </w:tcMar>
          </w:tcPr>
          <w:p>
            <w:r>
              <w:rPr>
                <w:rFonts w:ascii="Arial" w:hAnsi="Arial"/>
                <w:sz w:val="17"/>
              </w:rPr>
              <w:t>INTEGER</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Total number of closed property sales</w:t>
            </w:r>
          </w:p>
        </w:tc>
      </w:tr>
      <w:tr>
        <w:tc>
          <w:tcPr>
            <w:tcW w:type="dxa" w:w="2592"/>
            <w:shd w:fill="FFFFFF"/>
            <w:tcMar>
              <w:top w:w="80" w:type="dxa"/>
              <w:bottom w:w="80" w:type="dxa"/>
              <w:left w:w="120" w:type="dxa"/>
              <w:right w:w="120" w:type="dxa"/>
            </w:tcMar>
          </w:tcPr>
          <w:p>
            <w:r>
              <w:rPr>
                <w:rFonts w:ascii="Arial" w:hAnsi="Arial"/>
                <w:sz w:val="17"/>
              </w:rPr>
              <w:t>total_sales_volume</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Total dollar sum of closed transactions ($)</w:t>
            </w:r>
          </w:p>
        </w:tc>
      </w:tr>
      <w:tr>
        <w:tc>
          <w:tcPr>
            <w:tcW w:type="dxa" w:w="2592"/>
            <w:shd w:fill="F7FAFC"/>
            <w:tcMar>
              <w:top w:w="80" w:type="dxa"/>
              <w:bottom w:w="80" w:type="dxa"/>
              <w:left w:w="120" w:type="dxa"/>
              <w:right w:w="120" w:type="dxa"/>
            </w:tcMar>
          </w:tcPr>
          <w:p>
            <w:r>
              <w:rPr>
                <w:rFonts w:ascii="Arial" w:hAnsi="Arial"/>
                <w:sz w:val="17"/>
              </w:rPr>
              <w:t>avg_property_price</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Arithmetic mean property sale price ($)</w:t>
            </w:r>
          </w:p>
        </w:tc>
      </w:tr>
      <w:tr>
        <w:tc>
          <w:tcPr>
            <w:tcW w:type="dxa" w:w="2592"/>
            <w:shd w:fill="FFFFFF"/>
            <w:tcMar>
              <w:top w:w="80" w:type="dxa"/>
              <w:bottom w:w="80" w:type="dxa"/>
              <w:left w:w="120" w:type="dxa"/>
              <w:right w:w="120" w:type="dxa"/>
            </w:tcMar>
          </w:tcPr>
          <w:p>
            <w:r>
              <w:rPr>
                <w:rFonts w:ascii="Arial" w:hAnsi="Arial"/>
                <w:sz w:val="17"/>
              </w:rPr>
              <w:t>min_property_price</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Minimum closed property price in the month ($)</w:t>
            </w:r>
          </w:p>
        </w:tc>
      </w:tr>
      <w:tr>
        <w:tc>
          <w:tcPr>
            <w:tcW w:type="dxa" w:w="2592"/>
            <w:shd w:fill="F7FAFC"/>
            <w:tcMar>
              <w:top w:w="80" w:type="dxa"/>
              <w:bottom w:w="80" w:type="dxa"/>
              <w:left w:w="120" w:type="dxa"/>
              <w:right w:w="120" w:type="dxa"/>
            </w:tcMar>
          </w:tcPr>
          <w:p>
            <w:r>
              <w:rPr>
                <w:rFonts w:ascii="Arial" w:hAnsi="Arial"/>
                <w:sz w:val="17"/>
              </w:rPr>
              <w:t>max_property_price</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Maximum closed property price in the month ($)</w:t>
            </w:r>
          </w:p>
        </w:tc>
      </w:tr>
      <w:tr>
        <w:tc>
          <w:tcPr>
            <w:tcW w:type="dxa" w:w="2592"/>
            <w:shd w:fill="FFFFFF"/>
            <w:tcMar>
              <w:top w:w="80" w:type="dxa"/>
              <w:bottom w:w="80" w:type="dxa"/>
              <w:left w:w="120" w:type="dxa"/>
              <w:right w:w="120" w:type="dxa"/>
            </w:tcMar>
          </w:tcPr>
          <w:p>
            <w:r>
              <w:rPr>
                <w:rFonts w:ascii="Arial" w:hAnsi="Arial"/>
                <w:sz w:val="17"/>
              </w:rPr>
              <w:t>avg_price_per_sqft</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Mean market unit price per square foot ($/sqft)</w:t>
            </w:r>
          </w:p>
        </w:tc>
      </w:tr>
      <w:tr>
        <w:tc>
          <w:tcPr>
            <w:tcW w:type="dxa" w:w="2592"/>
            <w:shd w:fill="F7FAFC"/>
            <w:tcMar>
              <w:top w:w="80" w:type="dxa"/>
              <w:bottom w:w="80" w:type="dxa"/>
              <w:left w:w="120" w:type="dxa"/>
              <w:right w:w="120" w:type="dxa"/>
            </w:tcMar>
          </w:tcPr>
          <w:p>
            <w:r>
              <w:rPr>
                <w:rFonts w:ascii="Arial" w:hAnsi="Arial"/>
                <w:sz w:val="17"/>
              </w:rPr>
              <w:t>total_sqft_living</w:t>
            </w:r>
          </w:p>
        </w:tc>
        <w:tc>
          <w:tcPr>
            <w:tcW w:type="dxa" w:w="1440"/>
            <w:shd w:fill="F7FAFC"/>
            <w:tcMar>
              <w:top w:w="80" w:type="dxa"/>
              <w:bottom w:w="80" w:type="dxa"/>
              <w:left w:w="120" w:type="dxa"/>
              <w:right w:w="120" w:type="dxa"/>
            </w:tcMar>
          </w:tcPr>
          <w:p>
            <w:r>
              <w:rPr>
                <w:rFonts w:ascii="Arial" w:hAnsi="Arial"/>
                <w:sz w:val="17"/>
              </w:rPr>
              <w:t>INTEGER</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Cumulative living square footage sold</w:t>
            </w:r>
          </w:p>
        </w:tc>
      </w:tr>
      <w:tr>
        <w:tc>
          <w:tcPr>
            <w:tcW w:type="dxa" w:w="2592"/>
            <w:shd w:fill="FFFFFF"/>
            <w:tcMar>
              <w:top w:w="80" w:type="dxa"/>
              <w:bottom w:w="80" w:type="dxa"/>
              <w:left w:w="120" w:type="dxa"/>
              <w:right w:w="120" w:type="dxa"/>
            </w:tcMar>
          </w:tcPr>
          <w:p>
            <w:r>
              <w:rPr>
                <w:rFonts w:ascii="Arial" w:hAnsi="Arial"/>
                <w:sz w:val="17"/>
              </w:rPr>
              <w:t>avg_sqft_living</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Average interior living area of sold dwellings</w:t>
            </w:r>
          </w:p>
        </w:tc>
      </w:tr>
    </w:tbl>
    <w:p>
      <w:pPr>
        <w:spacing w:after="120"/>
      </w:pPr>
    </w:p>
    <w:p>
      <w:pPr>
        <w:pStyle w:val="Heading2"/>
        <w:spacing w:before="240" w:after="80"/>
      </w:pPr>
      <w:r>
        <w:rPr>
          <w:b/>
          <w:color w:val="2B547E"/>
          <w:sz w:val="26"/>
        </w:rPr>
        <w:t>Data Mart Table: regional_zipcode_valuation_mart</w:t>
      </w:r>
    </w:p>
    <w:p>
      <w:r>
        <w:t>Downstream aggregate table partitioning real estate performance by postal zones.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440"/>
            <w:shd w:fill="1A365D"/>
            <w:tcMar>
              <w:top w:w="120" w:type="dxa"/>
              <w:bottom w:w="120" w:type="dxa"/>
              <w:left w:w="150" w:type="dxa"/>
              <w:right w:w="150" w:type="dxa"/>
            </w:tcMar>
          </w:tcPr>
          <w:p>
            <w:pPr>
              <w:jc w:val="left"/>
            </w:pPr>
            <w:r>
              <w:rPr>
                <w:rFonts w:ascii="Arial" w:hAnsi="Arial"/>
                <w:b/>
                <w:color w:val="FFFFFF"/>
                <w:sz w:val="19"/>
              </w:rPr>
              <w:t>Data Type</w:t>
            </w:r>
          </w:p>
        </w:tc>
        <w:tc>
          <w:tcPr>
            <w:tcW w:type="dxa" w:w="2016"/>
            <w:shd w:fill="1A365D"/>
            <w:tcMar>
              <w:top w:w="120" w:type="dxa"/>
              <w:bottom w:w="120" w:type="dxa"/>
              <w:left w:w="150" w:type="dxa"/>
              <w:right w:w="150" w:type="dxa"/>
            </w:tcMar>
          </w:tcPr>
          <w:p>
            <w:pPr>
              <w:jc w:val="left"/>
            </w:pPr>
            <w:r>
              <w:rPr>
                <w:rFonts w:ascii="Arial" w:hAnsi="Arial"/>
                <w:b/>
                <w:color w:val="FFFFFF"/>
                <w:sz w:val="19"/>
              </w:rPr>
              <w:t>Constraints</w:t>
            </w:r>
          </w:p>
        </w:tc>
        <w:tc>
          <w:tcPr>
            <w:tcW w:type="dxa" w:w="4320"/>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2592"/>
            <w:shd w:fill="FFFFFF"/>
            <w:tcMar>
              <w:top w:w="80" w:type="dxa"/>
              <w:bottom w:w="80" w:type="dxa"/>
              <w:left w:w="120" w:type="dxa"/>
              <w:right w:w="120" w:type="dxa"/>
            </w:tcMar>
          </w:tcPr>
          <w:p>
            <w:r>
              <w:rPr>
                <w:rFonts w:ascii="Arial" w:hAnsi="Arial"/>
                <w:sz w:val="17"/>
              </w:rPr>
              <w:t>zipcode</w:t>
            </w:r>
          </w:p>
        </w:tc>
        <w:tc>
          <w:tcPr>
            <w:tcW w:type="dxa" w:w="1440"/>
            <w:shd w:fill="FFFFFF"/>
            <w:tcMar>
              <w:top w:w="80" w:type="dxa"/>
              <w:bottom w:w="80" w:type="dxa"/>
              <w:left w:w="120" w:type="dxa"/>
              <w:right w:w="120" w:type="dxa"/>
            </w:tcMar>
          </w:tcPr>
          <w:p>
            <w:r>
              <w:rPr>
                <w:rFonts w:ascii="Arial" w:hAnsi="Arial"/>
                <w:sz w:val="17"/>
              </w:rPr>
              <w:t>TEXT</w:t>
            </w:r>
          </w:p>
        </w:tc>
        <w:tc>
          <w:tcPr>
            <w:tcW w:type="dxa" w:w="2016"/>
            <w:shd w:fill="FFFFFF"/>
            <w:tcMar>
              <w:top w:w="80" w:type="dxa"/>
              <w:bottom w:w="80" w:type="dxa"/>
              <w:left w:w="120" w:type="dxa"/>
              <w:right w:w="120" w:type="dxa"/>
            </w:tcMar>
          </w:tcPr>
          <w:p>
            <w:r>
              <w:rPr>
                <w:rFonts w:ascii="Arial" w:hAnsi="Arial"/>
                <w:sz w:val="17"/>
              </w:rPr>
              <w:t>PRIMARY / INDEXED</w:t>
            </w:r>
          </w:p>
        </w:tc>
        <w:tc>
          <w:tcPr>
            <w:tcW w:type="dxa" w:w="4320"/>
            <w:shd w:fill="FFFFFF"/>
            <w:tcMar>
              <w:top w:w="80" w:type="dxa"/>
              <w:bottom w:w="80" w:type="dxa"/>
              <w:left w:w="120" w:type="dxa"/>
              <w:right w:w="120" w:type="dxa"/>
            </w:tcMar>
          </w:tcPr>
          <w:p>
            <w:r>
              <w:rPr>
                <w:rFonts w:ascii="Arial" w:hAnsi="Arial"/>
                <w:sz w:val="17"/>
              </w:rPr>
              <w:t>5-digit regional postal code</w:t>
            </w:r>
          </w:p>
        </w:tc>
      </w:tr>
      <w:tr>
        <w:tc>
          <w:tcPr>
            <w:tcW w:type="dxa" w:w="2592"/>
            <w:shd w:fill="F7FAFC"/>
            <w:tcMar>
              <w:top w:w="80" w:type="dxa"/>
              <w:bottom w:w="80" w:type="dxa"/>
              <w:left w:w="120" w:type="dxa"/>
              <w:right w:w="120" w:type="dxa"/>
            </w:tcMar>
          </w:tcPr>
          <w:p>
            <w:r>
              <w:rPr>
                <w:rFonts w:ascii="Arial" w:hAnsi="Arial"/>
                <w:sz w:val="17"/>
              </w:rPr>
              <w:t>centroid_latitude</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Average latitude centroid for the postal region</w:t>
            </w:r>
          </w:p>
        </w:tc>
      </w:tr>
      <w:tr>
        <w:tc>
          <w:tcPr>
            <w:tcW w:type="dxa" w:w="2592"/>
            <w:shd w:fill="FFFFFF"/>
            <w:tcMar>
              <w:top w:w="80" w:type="dxa"/>
              <w:bottom w:w="80" w:type="dxa"/>
              <w:left w:w="120" w:type="dxa"/>
              <w:right w:w="120" w:type="dxa"/>
            </w:tcMar>
          </w:tcPr>
          <w:p>
            <w:r>
              <w:rPr>
                <w:rFonts w:ascii="Arial" w:hAnsi="Arial"/>
                <w:sz w:val="17"/>
              </w:rPr>
              <w:t>centroid_longitude</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Average longitude centroid for the postal region</w:t>
            </w:r>
          </w:p>
        </w:tc>
      </w:tr>
      <w:tr>
        <w:tc>
          <w:tcPr>
            <w:tcW w:type="dxa" w:w="2592"/>
            <w:shd w:fill="F7FAFC"/>
            <w:tcMar>
              <w:top w:w="80" w:type="dxa"/>
              <w:bottom w:w="80" w:type="dxa"/>
              <w:left w:w="120" w:type="dxa"/>
              <w:right w:w="120" w:type="dxa"/>
            </w:tcMar>
          </w:tcPr>
          <w:p>
            <w:r>
              <w:rPr>
                <w:rFonts w:ascii="Arial" w:hAnsi="Arial"/>
                <w:sz w:val="17"/>
              </w:rPr>
              <w:t>total_listings_sold</w:t>
            </w:r>
          </w:p>
        </w:tc>
        <w:tc>
          <w:tcPr>
            <w:tcW w:type="dxa" w:w="1440"/>
            <w:shd w:fill="F7FAFC"/>
            <w:tcMar>
              <w:top w:w="80" w:type="dxa"/>
              <w:bottom w:w="80" w:type="dxa"/>
              <w:left w:w="120" w:type="dxa"/>
              <w:right w:w="120" w:type="dxa"/>
            </w:tcMar>
          </w:tcPr>
          <w:p>
            <w:r>
              <w:rPr>
                <w:rFonts w:ascii="Arial" w:hAnsi="Arial"/>
                <w:sz w:val="17"/>
              </w:rPr>
              <w:t>INTEGER</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Volume of properties sold in the postal zone</w:t>
            </w:r>
          </w:p>
        </w:tc>
      </w:tr>
      <w:tr>
        <w:tc>
          <w:tcPr>
            <w:tcW w:type="dxa" w:w="2592"/>
            <w:shd w:fill="FFFFFF"/>
            <w:tcMar>
              <w:top w:w="80" w:type="dxa"/>
              <w:bottom w:w="80" w:type="dxa"/>
              <w:left w:w="120" w:type="dxa"/>
              <w:right w:w="120" w:type="dxa"/>
            </w:tcMar>
          </w:tcPr>
          <w:p>
            <w:r>
              <w:rPr>
                <w:rFonts w:ascii="Arial" w:hAnsi="Arial"/>
                <w:sz w:val="17"/>
              </w:rPr>
              <w:t>total_regional_sales_volume</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Aggregate dollar sales volume in the zipcode ($)</w:t>
            </w:r>
          </w:p>
        </w:tc>
      </w:tr>
      <w:tr>
        <w:tc>
          <w:tcPr>
            <w:tcW w:type="dxa" w:w="2592"/>
            <w:shd w:fill="F7FAFC"/>
            <w:tcMar>
              <w:top w:w="80" w:type="dxa"/>
              <w:bottom w:w="80" w:type="dxa"/>
              <w:left w:w="120" w:type="dxa"/>
              <w:right w:w="120" w:type="dxa"/>
            </w:tcMar>
          </w:tcPr>
          <w:p>
            <w:r>
              <w:rPr>
                <w:rFonts w:ascii="Arial" w:hAnsi="Arial"/>
                <w:sz w:val="17"/>
              </w:rPr>
              <w:t>avg_market_value</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Mean residential property market valuation ($)</w:t>
            </w:r>
          </w:p>
        </w:tc>
      </w:tr>
      <w:tr>
        <w:tc>
          <w:tcPr>
            <w:tcW w:type="dxa" w:w="2592"/>
            <w:shd w:fill="FFFFFF"/>
            <w:tcMar>
              <w:top w:w="80" w:type="dxa"/>
              <w:bottom w:w="80" w:type="dxa"/>
              <w:left w:w="120" w:type="dxa"/>
              <w:right w:w="120" w:type="dxa"/>
            </w:tcMar>
          </w:tcPr>
          <w:p>
            <w:r>
              <w:rPr>
                <w:rFonts w:ascii="Arial" w:hAnsi="Arial"/>
                <w:sz w:val="17"/>
              </w:rPr>
              <w:t>avg_price_per_sqft</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Mean unit price per living square foot ($/sqft)</w:t>
            </w:r>
          </w:p>
        </w:tc>
      </w:tr>
      <w:tr>
        <w:tc>
          <w:tcPr>
            <w:tcW w:type="dxa" w:w="2592"/>
            <w:shd w:fill="F7FAFC"/>
            <w:tcMar>
              <w:top w:w="80" w:type="dxa"/>
              <w:bottom w:w="80" w:type="dxa"/>
              <w:left w:w="120" w:type="dxa"/>
              <w:right w:w="120" w:type="dxa"/>
            </w:tcMar>
          </w:tcPr>
          <w:p>
            <w:r>
              <w:rPr>
                <w:rFonts w:ascii="Arial" w:hAnsi="Arial"/>
                <w:sz w:val="17"/>
              </w:rPr>
              <w:t>avg_living_area_sqft</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Mean interior living space in square feet</w:t>
            </w:r>
          </w:p>
        </w:tc>
      </w:tr>
      <w:tr>
        <w:tc>
          <w:tcPr>
            <w:tcW w:type="dxa" w:w="2592"/>
            <w:shd w:fill="FFFFFF"/>
            <w:tcMar>
              <w:top w:w="80" w:type="dxa"/>
              <w:bottom w:w="80" w:type="dxa"/>
              <w:left w:w="120" w:type="dxa"/>
              <w:right w:w="120" w:type="dxa"/>
            </w:tcMar>
          </w:tcPr>
          <w:p>
            <w:r>
              <w:rPr>
                <w:rFonts w:ascii="Arial" w:hAnsi="Arial"/>
                <w:sz w:val="17"/>
              </w:rPr>
              <w:t>waterfront_property_count</w:t>
            </w:r>
          </w:p>
        </w:tc>
        <w:tc>
          <w:tcPr>
            <w:tcW w:type="dxa" w:w="1440"/>
            <w:shd w:fill="FFFFFF"/>
            <w:tcMar>
              <w:top w:w="80" w:type="dxa"/>
              <w:bottom w:w="80" w:type="dxa"/>
              <w:left w:w="120" w:type="dxa"/>
              <w:right w:w="120" w:type="dxa"/>
            </w:tcMar>
          </w:tcPr>
          <w:p>
            <w:r>
              <w:rPr>
                <w:rFonts w:ascii="Arial" w:hAnsi="Arial"/>
                <w:sz w:val="17"/>
              </w:rPr>
              <w:t>INTEGER</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Number of waterfront properties sold in region</w:t>
            </w:r>
          </w:p>
        </w:tc>
      </w:tr>
      <w:tr>
        <w:tc>
          <w:tcPr>
            <w:tcW w:type="dxa" w:w="2592"/>
            <w:shd w:fill="F7FAFC"/>
            <w:tcMar>
              <w:top w:w="80" w:type="dxa"/>
              <w:bottom w:w="80" w:type="dxa"/>
              <w:left w:w="120" w:type="dxa"/>
              <w:right w:w="120" w:type="dxa"/>
            </w:tcMar>
          </w:tcPr>
          <w:p>
            <w:r>
              <w:rPr>
                <w:rFonts w:ascii="Arial" w:hAnsi="Arial"/>
                <w:sz w:val="17"/>
              </w:rPr>
              <w:t>avg_bedrooms</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Mean bedroom count across regional homes</w:t>
            </w:r>
          </w:p>
        </w:tc>
      </w:tr>
      <w:tr>
        <w:tc>
          <w:tcPr>
            <w:tcW w:type="dxa" w:w="2592"/>
            <w:shd w:fill="FFFFFF"/>
            <w:tcMar>
              <w:top w:w="80" w:type="dxa"/>
              <w:bottom w:w="80" w:type="dxa"/>
              <w:left w:w="120" w:type="dxa"/>
              <w:right w:w="120" w:type="dxa"/>
            </w:tcMar>
          </w:tcPr>
          <w:p>
            <w:r>
              <w:rPr>
                <w:rFonts w:ascii="Arial" w:hAnsi="Arial"/>
                <w:sz w:val="17"/>
              </w:rPr>
              <w:t>avg_bathrooms</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Mean bathroom count across regional homes</w:t>
            </w:r>
          </w:p>
        </w:tc>
      </w:tr>
    </w:tbl>
    <w:p>
      <w:pPr>
        <w:spacing w:after="120"/>
      </w:pPr>
    </w:p>
    <w:p>
      <w:pPr>
        <w:pStyle w:val="Heading2"/>
        <w:spacing w:before="240" w:after="80"/>
      </w:pPr>
      <w:r>
        <w:rPr>
          <w:b/>
          <w:color w:val="2B547E"/>
          <w:sz w:val="26"/>
        </w:rPr>
        <w:t>Data Mart Table: structural_grade_valuation_mart</w:t>
      </w:r>
    </w:p>
    <w:p>
      <w:r>
        <w:t>Downstream aggregate table evaluating valuation premiums by architectural grade tiers.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A365D"/>
            <w:tcMar>
              <w:top w:w="120" w:type="dxa"/>
              <w:bottom w:w="120" w:type="dxa"/>
              <w:left w:w="150" w:type="dxa"/>
              <w:right w:w="150" w:type="dxa"/>
            </w:tcMar>
          </w:tcPr>
          <w:p>
            <w:pPr>
              <w:jc w:val="left"/>
            </w:pPr>
            <w:r>
              <w:rPr>
                <w:rFonts w:ascii="Arial" w:hAnsi="Arial"/>
                <w:b/>
                <w:color w:val="FFFFFF"/>
                <w:sz w:val="19"/>
              </w:rPr>
              <w:t>Column Name</w:t>
            </w:r>
          </w:p>
        </w:tc>
        <w:tc>
          <w:tcPr>
            <w:tcW w:type="dxa" w:w="1440"/>
            <w:shd w:fill="1A365D"/>
            <w:tcMar>
              <w:top w:w="120" w:type="dxa"/>
              <w:bottom w:w="120" w:type="dxa"/>
              <w:left w:w="150" w:type="dxa"/>
              <w:right w:w="150" w:type="dxa"/>
            </w:tcMar>
          </w:tcPr>
          <w:p>
            <w:pPr>
              <w:jc w:val="left"/>
            </w:pPr>
            <w:r>
              <w:rPr>
                <w:rFonts w:ascii="Arial" w:hAnsi="Arial"/>
                <w:b/>
                <w:color w:val="FFFFFF"/>
                <w:sz w:val="19"/>
              </w:rPr>
              <w:t>Data Type</w:t>
            </w:r>
          </w:p>
        </w:tc>
        <w:tc>
          <w:tcPr>
            <w:tcW w:type="dxa" w:w="2016"/>
            <w:shd w:fill="1A365D"/>
            <w:tcMar>
              <w:top w:w="120" w:type="dxa"/>
              <w:bottom w:w="120" w:type="dxa"/>
              <w:left w:w="150" w:type="dxa"/>
              <w:right w:w="150" w:type="dxa"/>
            </w:tcMar>
          </w:tcPr>
          <w:p>
            <w:pPr>
              <w:jc w:val="left"/>
            </w:pPr>
            <w:r>
              <w:rPr>
                <w:rFonts w:ascii="Arial" w:hAnsi="Arial"/>
                <w:b/>
                <w:color w:val="FFFFFF"/>
                <w:sz w:val="19"/>
              </w:rPr>
              <w:t>Constraints</w:t>
            </w:r>
          </w:p>
        </w:tc>
        <w:tc>
          <w:tcPr>
            <w:tcW w:type="dxa" w:w="4320"/>
            <w:shd w:fill="1A365D"/>
            <w:tcMar>
              <w:top w:w="120" w:type="dxa"/>
              <w:bottom w:w="120" w:type="dxa"/>
              <w:left w:w="150" w:type="dxa"/>
              <w:right w:w="150" w:type="dxa"/>
            </w:tcMar>
          </w:tcPr>
          <w:p>
            <w:pPr>
              <w:jc w:val="left"/>
            </w:pPr>
            <w:r>
              <w:rPr>
                <w:rFonts w:ascii="Arial" w:hAnsi="Arial"/>
                <w:b/>
                <w:color w:val="FFFFFF"/>
                <w:sz w:val="19"/>
              </w:rPr>
              <w:t>Business Definition</w:t>
            </w:r>
          </w:p>
        </w:tc>
      </w:tr>
      <w:tr>
        <w:tc>
          <w:tcPr>
            <w:tcW w:type="dxa" w:w="2592"/>
            <w:shd w:fill="FFFFFF"/>
            <w:tcMar>
              <w:top w:w="80" w:type="dxa"/>
              <w:bottom w:w="80" w:type="dxa"/>
              <w:left w:w="120" w:type="dxa"/>
              <w:right w:w="120" w:type="dxa"/>
            </w:tcMar>
          </w:tcPr>
          <w:p>
            <w:r>
              <w:rPr>
                <w:rFonts w:ascii="Arial" w:hAnsi="Arial"/>
                <w:sz w:val="17"/>
              </w:rPr>
              <w:t>grade</w:t>
            </w:r>
          </w:p>
        </w:tc>
        <w:tc>
          <w:tcPr>
            <w:tcW w:type="dxa" w:w="1440"/>
            <w:shd w:fill="FFFFFF"/>
            <w:tcMar>
              <w:top w:w="80" w:type="dxa"/>
              <w:bottom w:w="80" w:type="dxa"/>
              <w:left w:w="120" w:type="dxa"/>
              <w:right w:w="120" w:type="dxa"/>
            </w:tcMar>
          </w:tcPr>
          <w:p>
            <w:r>
              <w:rPr>
                <w:rFonts w:ascii="Arial" w:hAnsi="Arial"/>
                <w:sz w:val="17"/>
              </w:rPr>
              <w:t>INTEGER</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King County construction grade rating (1-13)</w:t>
            </w:r>
          </w:p>
        </w:tc>
      </w:tr>
      <w:tr>
        <w:tc>
          <w:tcPr>
            <w:tcW w:type="dxa" w:w="2592"/>
            <w:shd w:fill="F7FAFC"/>
            <w:tcMar>
              <w:top w:w="80" w:type="dxa"/>
              <w:bottom w:w="80" w:type="dxa"/>
              <w:left w:w="120" w:type="dxa"/>
              <w:right w:w="120" w:type="dxa"/>
            </w:tcMar>
          </w:tcPr>
          <w:p>
            <w:r>
              <w:rPr>
                <w:rFonts w:ascii="Arial" w:hAnsi="Arial"/>
                <w:sz w:val="17"/>
              </w:rPr>
              <w:t>condition</w:t>
            </w:r>
          </w:p>
        </w:tc>
        <w:tc>
          <w:tcPr>
            <w:tcW w:type="dxa" w:w="1440"/>
            <w:shd w:fill="F7FAFC"/>
            <w:tcMar>
              <w:top w:w="80" w:type="dxa"/>
              <w:bottom w:w="80" w:type="dxa"/>
              <w:left w:w="120" w:type="dxa"/>
              <w:right w:w="120" w:type="dxa"/>
            </w:tcMar>
          </w:tcPr>
          <w:p>
            <w:r>
              <w:rPr>
                <w:rFonts w:ascii="Arial" w:hAnsi="Arial"/>
                <w:sz w:val="17"/>
              </w:rPr>
              <w:t>INTEGER</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Maintenance condition score (1-5)</w:t>
            </w:r>
          </w:p>
        </w:tc>
      </w:tr>
      <w:tr>
        <w:tc>
          <w:tcPr>
            <w:tcW w:type="dxa" w:w="2592"/>
            <w:shd w:fill="FFFFFF"/>
            <w:tcMar>
              <w:top w:w="80" w:type="dxa"/>
              <w:bottom w:w="80" w:type="dxa"/>
              <w:left w:w="120" w:type="dxa"/>
              <w:right w:w="120" w:type="dxa"/>
            </w:tcMar>
          </w:tcPr>
          <w:p>
            <w:r>
              <w:rPr>
                <w:rFonts w:ascii="Arial" w:hAnsi="Arial"/>
                <w:sz w:val="17"/>
              </w:rPr>
              <w:t>market_tier</w:t>
            </w:r>
          </w:p>
        </w:tc>
        <w:tc>
          <w:tcPr>
            <w:tcW w:type="dxa" w:w="1440"/>
            <w:shd w:fill="FFFFFF"/>
            <w:tcMar>
              <w:top w:w="80" w:type="dxa"/>
              <w:bottom w:w="80" w:type="dxa"/>
              <w:left w:w="120" w:type="dxa"/>
              <w:right w:w="120" w:type="dxa"/>
            </w:tcMar>
          </w:tcPr>
          <w:p>
            <w:r>
              <w:rPr>
                <w:rFonts w:ascii="Arial" w:hAnsi="Arial"/>
                <w:sz w:val="17"/>
              </w:rPr>
              <w:t>TEXT</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Categorical tier (Economy, Mid-Market, Executive, Luxury Estate)</w:t>
            </w:r>
          </w:p>
        </w:tc>
      </w:tr>
      <w:tr>
        <w:tc>
          <w:tcPr>
            <w:tcW w:type="dxa" w:w="2592"/>
            <w:shd w:fill="F7FAFC"/>
            <w:tcMar>
              <w:top w:w="80" w:type="dxa"/>
              <w:bottom w:w="80" w:type="dxa"/>
              <w:left w:w="120" w:type="dxa"/>
              <w:right w:w="120" w:type="dxa"/>
            </w:tcMar>
          </w:tcPr>
          <w:p>
            <w:r>
              <w:rPr>
                <w:rFonts w:ascii="Arial" w:hAnsi="Arial"/>
                <w:sz w:val="17"/>
              </w:rPr>
              <w:t>property_count</w:t>
            </w:r>
          </w:p>
        </w:tc>
        <w:tc>
          <w:tcPr>
            <w:tcW w:type="dxa" w:w="1440"/>
            <w:shd w:fill="F7FAFC"/>
            <w:tcMar>
              <w:top w:w="80" w:type="dxa"/>
              <w:bottom w:w="80" w:type="dxa"/>
              <w:left w:w="120" w:type="dxa"/>
              <w:right w:w="120" w:type="dxa"/>
            </w:tcMar>
          </w:tcPr>
          <w:p>
            <w:r>
              <w:rPr>
                <w:rFonts w:ascii="Arial" w:hAnsi="Arial"/>
                <w:sz w:val="17"/>
              </w:rPr>
              <w:t>INTEGER</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Number of properties belonging to this tier</w:t>
            </w:r>
          </w:p>
        </w:tc>
      </w:tr>
      <w:tr>
        <w:tc>
          <w:tcPr>
            <w:tcW w:type="dxa" w:w="2592"/>
            <w:shd w:fill="FFFFFF"/>
            <w:tcMar>
              <w:top w:w="80" w:type="dxa"/>
              <w:bottom w:w="80" w:type="dxa"/>
              <w:left w:w="120" w:type="dxa"/>
              <w:right w:w="120" w:type="dxa"/>
            </w:tcMar>
          </w:tcPr>
          <w:p>
            <w:r>
              <w:rPr>
                <w:rFonts w:ascii="Arial" w:hAnsi="Arial"/>
                <w:sz w:val="17"/>
              </w:rPr>
              <w:t>aggregate_tier_valuation</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Total financial sales volume within tier ($)</w:t>
            </w:r>
          </w:p>
        </w:tc>
      </w:tr>
      <w:tr>
        <w:tc>
          <w:tcPr>
            <w:tcW w:type="dxa" w:w="2592"/>
            <w:shd w:fill="F7FAFC"/>
            <w:tcMar>
              <w:top w:w="80" w:type="dxa"/>
              <w:bottom w:w="80" w:type="dxa"/>
              <w:left w:w="120" w:type="dxa"/>
              <w:right w:w="120" w:type="dxa"/>
            </w:tcMar>
          </w:tcPr>
          <w:p>
            <w:r>
              <w:rPr>
                <w:rFonts w:ascii="Arial" w:hAnsi="Arial"/>
                <w:sz w:val="17"/>
              </w:rPr>
              <w:t>avg_valuation</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Mean transaction sales price in tier ($)</w:t>
            </w:r>
          </w:p>
        </w:tc>
      </w:tr>
      <w:tr>
        <w:tc>
          <w:tcPr>
            <w:tcW w:type="dxa" w:w="2592"/>
            <w:shd w:fill="FFFFFF"/>
            <w:tcMar>
              <w:top w:w="80" w:type="dxa"/>
              <w:bottom w:w="80" w:type="dxa"/>
              <w:left w:w="120" w:type="dxa"/>
              <w:right w:w="120" w:type="dxa"/>
            </w:tcMar>
          </w:tcPr>
          <w:p>
            <w:r>
              <w:rPr>
                <w:rFonts w:ascii="Arial" w:hAnsi="Arial"/>
                <w:sz w:val="17"/>
              </w:rPr>
              <w:t>avg_price_per_sqft</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Mean unit price per square foot in tier ($/sqft)</w:t>
            </w:r>
          </w:p>
        </w:tc>
      </w:tr>
      <w:tr>
        <w:tc>
          <w:tcPr>
            <w:tcW w:type="dxa" w:w="2592"/>
            <w:shd w:fill="F7FAFC"/>
            <w:tcMar>
              <w:top w:w="80" w:type="dxa"/>
              <w:bottom w:w="80" w:type="dxa"/>
              <w:left w:w="120" w:type="dxa"/>
              <w:right w:w="120" w:type="dxa"/>
            </w:tcMar>
          </w:tcPr>
          <w:p>
            <w:r>
              <w:rPr>
                <w:rFonts w:ascii="Arial" w:hAnsi="Arial"/>
                <w:sz w:val="17"/>
              </w:rPr>
              <w:t>avg_sqft_living</w:t>
            </w:r>
          </w:p>
        </w:tc>
        <w:tc>
          <w:tcPr>
            <w:tcW w:type="dxa" w:w="1440"/>
            <w:shd w:fill="F7FAFC"/>
            <w:tcMar>
              <w:top w:w="80" w:type="dxa"/>
              <w:bottom w:w="80" w:type="dxa"/>
              <w:left w:w="120" w:type="dxa"/>
              <w:right w:w="120" w:type="dxa"/>
            </w:tcMar>
          </w:tcPr>
          <w:p>
            <w:r>
              <w:rPr>
                <w:rFonts w:ascii="Arial" w:hAnsi="Arial"/>
                <w:sz w:val="17"/>
              </w:rPr>
              <w:t>REAL</w:t>
            </w:r>
          </w:p>
        </w:tc>
        <w:tc>
          <w:tcPr>
            <w:tcW w:type="dxa" w:w="2016"/>
            <w:shd w:fill="F7FAFC"/>
            <w:tcMar>
              <w:top w:w="80" w:type="dxa"/>
              <w:bottom w:w="80" w:type="dxa"/>
              <w:left w:w="120" w:type="dxa"/>
              <w:right w:w="120" w:type="dxa"/>
            </w:tcMar>
          </w:tcPr>
          <w:p>
            <w:r>
              <w:rPr>
                <w:rFonts w:ascii="Arial" w:hAnsi="Arial"/>
                <w:sz w:val="17"/>
              </w:rPr>
              <w:t>NOT NULL</w:t>
            </w:r>
          </w:p>
        </w:tc>
        <w:tc>
          <w:tcPr>
            <w:tcW w:type="dxa" w:w="4320"/>
            <w:shd w:fill="F7FAFC"/>
            <w:tcMar>
              <w:top w:w="80" w:type="dxa"/>
              <w:bottom w:w="80" w:type="dxa"/>
              <w:left w:w="120" w:type="dxa"/>
              <w:right w:w="120" w:type="dxa"/>
            </w:tcMar>
          </w:tcPr>
          <w:p>
            <w:r>
              <w:rPr>
                <w:rFonts w:ascii="Arial" w:hAnsi="Arial"/>
                <w:sz w:val="17"/>
              </w:rPr>
              <w:t>Mean interior living area in square feet</w:t>
            </w:r>
          </w:p>
        </w:tc>
      </w:tr>
      <w:tr>
        <w:tc>
          <w:tcPr>
            <w:tcW w:type="dxa" w:w="2592"/>
            <w:shd w:fill="FFFFFF"/>
            <w:tcMar>
              <w:top w:w="80" w:type="dxa"/>
              <w:bottom w:w="80" w:type="dxa"/>
              <w:left w:w="120" w:type="dxa"/>
              <w:right w:w="120" w:type="dxa"/>
            </w:tcMar>
          </w:tcPr>
          <w:p>
            <w:r>
              <w:rPr>
                <w:rFonts w:ascii="Arial" w:hAnsi="Arial"/>
                <w:sz w:val="17"/>
              </w:rPr>
              <w:t>avg_lot_size</w:t>
            </w:r>
          </w:p>
        </w:tc>
        <w:tc>
          <w:tcPr>
            <w:tcW w:type="dxa" w:w="1440"/>
            <w:shd w:fill="FFFFFF"/>
            <w:tcMar>
              <w:top w:w="80" w:type="dxa"/>
              <w:bottom w:w="80" w:type="dxa"/>
              <w:left w:w="120" w:type="dxa"/>
              <w:right w:w="120" w:type="dxa"/>
            </w:tcMar>
          </w:tcPr>
          <w:p>
            <w:r>
              <w:rPr>
                <w:rFonts w:ascii="Arial" w:hAnsi="Arial"/>
                <w:sz w:val="17"/>
              </w:rPr>
              <w:t>REAL</w:t>
            </w:r>
          </w:p>
        </w:tc>
        <w:tc>
          <w:tcPr>
            <w:tcW w:type="dxa" w:w="2016"/>
            <w:shd w:fill="FFFFFF"/>
            <w:tcMar>
              <w:top w:w="80" w:type="dxa"/>
              <w:bottom w:w="80" w:type="dxa"/>
              <w:left w:w="120" w:type="dxa"/>
              <w:right w:w="120" w:type="dxa"/>
            </w:tcMar>
          </w:tcPr>
          <w:p>
            <w:r>
              <w:rPr>
                <w:rFonts w:ascii="Arial" w:hAnsi="Arial"/>
                <w:sz w:val="17"/>
              </w:rPr>
              <w:t>NOT NULL</w:t>
            </w:r>
          </w:p>
        </w:tc>
        <w:tc>
          <w:tcPr>
            <w:tcW w:type="dxa" w:w="4320"/>
            <w:shd w:fill="FFFFFF"/>
            <w:tcMar>
              <w:top w:w="80" w:type="dxa"/>
              <w:bottom w:w="80" w:type="dxa"/>
              <w:left w:w="120" w:type="dxa"/>
              <w:right w:w="120" w:type="dxa"/>
            </w:tcMar>
          </w:tcPr>
          <w:p>
            <w:r>
              <w:rPr>
                <w:rFonts w:ascii="Arial" w:hAnsi="Arial"/>
                <w:sz w:val="17"/>
              </w:rPr>
              <w:t>Mean land parcel size in square feet</w:t>
            </w:r>
          </w:p>
        </w:tc>
      </w:tr>
    </w:tbl>
    <w:p>
      <w:pPr>
        <w:spacing w:after="120"/>
      </w:pPr>
    </w:p>
    <w:p>
      <w:pPr>
        <w:pStyle w:val="Heading1"/>
        <w:spacing w:before="240" w:after="80"/>
      </w:pPr>
      <w:r>
        <w:rPr>
          <w:b/>
          <w:color w:val="1A365D"/>
          <w:sz w:val="32"/>
        </w:rPr>
        <w:t>6. Index Catalog &amp; Performance Tuning Audit</w:t>
      </w:r>
    </w:p>
    <w:p>
      <w:r>
        <w:t>To eliminate expensive full table scans (SCAN fact_property_sales across 21,613 records), custom single-column and compound B-Tree indexes were created on high-cardinality foreign keys and filter fields. Benchmark testing proved up to a 124x query speedup with SEARCH ... USING INDEX plans.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1A365D"/>
            <w:tcMar>
              <w:top w:w="120" w:type="dxa"/>
              <w:bottom w:w="120" w:type="dxa"/>
              <w:left w:w="150" w:type="dxa"/>
              <w:right w:w="150" w:type="dxa"/>
            </w:tcMar>
          </w:tcPr>
          <w:p>
            <w:pPr>
              <w:jc w:val="left"/>
            </w:pPr>
            <w:r>
              <w:rPr>
                <w:rFonts w:ascii="Arial" w:hAnsi="Arial"/>
                <w:b/>
                <w:color w:val="FFFFFF"/>
                <w:sz w:val="19"/>
              </w:rPr>
              <w:t>Index Name</w:t>
            </w:r>
          </w:p>
        </w:tc>
        <w:tc>
          <w:tcPr>
            <w:tcW w:type="dxa" w:w="1872"/>
            <w:shd w:fill="1A365D"/>
            <w:tcMar>
              <w:top w:w="120" w:type="dxa"/>
              <w:bottom w:w="120" w:type="dxa"/>
              <w:left w:w="150" w:type="dxa"/>
              <w:right w:w="150" w:type="dxa"/>
            </w:tcMar>
          </w:tcPr>
          <w:p>
            <w:pPr>
              <w:jc w:val="left"/>
            </w:pPr>
            <w:r>
              <w:rPr>
                <w:rFonts w:ascii="Arial" w:hAnsi="Arial"/>
                <w:b/>
                <w:color w:val="FFFFFF"/>
                <w:sz w:val="19"/>
              </w:rPr>
              <w:t>Target Table</w:t>
            </w:r>
          </w:p>
        </w:tc>
        <w:tc>
          <w:tcPr>
            <w:tcW w:type="dxa" w:w="2160"/>
            <w:shd w:fill="1A365D"/>
            <w:tcMar>
              <w:top w:w="120" w:type="dxa"/>
              <w:bottom w:w="120" w:type="dxa"/>
              <w:left w:w="150" w:type="dxa"/>
              <w:right w:w="150" w:type="dxa"/>
            </w:tcMar>
          </w:tcPr>
          <w:p>
            <w:pPr>
              <w:jc w:val="left"/>
            </w:pPr>
            <w:r>
              <w:rPr>
                <w:rFonts w:ascii="Arial" w:hAnsi="Arial"/>
                <w:b/>
                <w:color w:val="FFFFFF"/>
                <w:sz w:val="19"/>
              </w:rPr>
              <w:t>Indexed Columns</w:t>
            </w:r>
          </w:p>
        </w:tc>
        <w:tc>
          <w:tcPr>
            <w:tcW w:type="dxa" w:w="1584"/>
            <w:shd w:fill="1A365D"/>
            <w:tcMar>
              <w:top w:w="120" w:type="dxa"/>
              <w:bottom w:w="120" w:type="dxa"/>
              <w:left w:w="150" w:type="dxa"/>
              <w:right w:w="150" w:type="dxa"/>
            </w:tcMar>
          </w:tcPr>
          <w:p>
            <w:pPr>
              <w:jc w:val="left"/>
            </w:pPr>
            <w:r>
              <w:rPr>
                <w:rFonts w:ascii="Arial" w:hAnsi="Arial"/>
                <w:b/>
                <w:color w:val="FFFFFF"/>
                <w:sz w:val="19"/>
              </w:rPr>
              <w:t>Index Type</w:t>
            </w:r>
          </w:p>
        </w:tc>
        <w:tc>
          <w:tcPr>
            <w:tcW w:type="dxa" w:w="2592"/>
            <w:shd w:fill="1A365D"/>
            <w:tcMar>
              <w:top w:w="120" w:type="dxa"/>
              <w:bottom w:w="120" w:type="dxa"/>
              <w:left w:w="150" w:type="dxa"/>
              <w:right w:w="150" w:type="dxa"/>
            </w:tcMar>
          </w:tcPr>
          <w:p>
            <w:pPr>
              <w:jc w:val="left"/>
            </w:pPr>
            <w:r>
              <w:rPr>
                <w:rFonts w:ascii="Arial" w:hAnsi="Arial"/>
                <w:b/>
                <w:color w:val="FFFFFF"/>
                <w:sz w:val="19"/>
              </w:rPr>
              <w:t>Tuning &amp; Query Plan Impact</w:t>
            </w:r>
          </w:p>
        </w:tc>
      </w:tr>
      <w:tr>
        <w:tc>
          <w:tcPr>
            <w:tcW w:type="dxa" w:w="2160"/>
            <w:shd w:fill="FFFFFF"/>
            <w:tcMar>
              <w:top w:w="80" w:type="dxa"/>
              <w:bottom w:w="80" w:type="dxa"/>
              <w:left w:w="120" w:type="dxa"/>
              <w:right w:w="120" w:type="dxa"/>
            </w:tcMar>
          </w:tcPr>
          <w:p>
            <w:r>
              <w:rPr>
                <w:rFonts w:ascii="Arial" w:hAnsi="Arial"/>
                <w:sz w:val="17"/>
              </w:rPr>
              <w:t>idx_fact_date</w:t>
            </w:r>
          </w:p>
        </w:tc>
        <w:tc>
          <w:tcPr>
            <w:tcW w:type="dxa" w:w="1872"/>
            <w:shd w:fill="FFFFFF"/>
            <w:tcMar>
              <w:top w:w="80" w:type="dxa"/>
              <w:bottom w:w="80" w:type="dxa"/>
              <w:left w:w="120" w:type="dxa"/>
              <w:right w:w="120" w:type="dxa"/>
            </w:tcMar>
          </w:tcPr>
          <w:p>
            <w:r>
              <w:rPr>
                <w:rFonts w:ascii="Arial" w:hAnsi="Arial"/>
                <w:sz w:val="17"/>
              </w:rPr>
              <w:t>fact_property_sales</w:t>
            </w:r>
          </w:p>
        </w:tc>
        <w:tc>
          <w:tcPr>
            <w:tcW w:type="dxa" w:w="2160"/>
            <w:shd w:fill="FFFFFF"/>
            <w:tcMar>
              <w:top w:w="80" w:type="dxa"/>
              <w:bottom w:w="80" w:type="dxa"/>
              <w:left w:w="120" w:type="dxa"/>
              <w:right w:w="120" w:type="dxa"/>
            </w:tcMar>
          </w:tcPr>
          <w:p>
            <w:r>
              <w:rPr>
                <w:rFonts w:ascii="Arial" w:hAnsi="Arial"/>
                <w:sz w:val="17"/>
              </w:rPr>
              <w:t>date_id</w:t>
            </w:r>
          </w:p>
        </w:tc>
        <w:tc>
          <w:tcPr>
            <w:tcW w:type="dxa" w:w="1584"/>
            <w:shd w:fill="FFFFFF"/>
            <w:tcMar>
              <w:top w:w="80" w:type="dxa"/>
              <w:bottom w:w="80" w:type="dxa"/>
              <w:left w:w="120" w:type="dxa"/>
              <w:right w:w="120" w:type="dxa"/>
            </w:tcMar>
          </w:tcPr>
          <w:p>
            <w:r>
              <w:rPr>
                <w:rFonts w:ascii="Arial" w:hAnsi="Arial"/>
                <w:sz w:val="17"/>
              </w:rPr>
              <w:t>Single B-Tree</w:t>
            </w:r>
          </w:p>
        </w:tc>
        <w:tc>
          <w:tcPr>
            <w:tcW w:type="dxa" w:w="2592"/>
            <w:shd w:fill="FFFFFF"/>
            <w:tcMar>
              <w:top w:w="80" w:type="dxa"/>
              <w:bottom w:w="80" w:type="dxa"/>
              <w:left w:w="120" w:type="dxa"/>
              <w:right w:w="120" w:type="dxa"/>
            </w:tcMar>
          </w:tcPr>
          <w:p>
            <w:r>
              <w:rPr>
                <w:rFonts w:ascii="Arial" w:hAnsi="Arial"/>
                <w:sz w:val="17"/>
              </w:rPr>
              <w:t>Optimizes temporal joins to dim_date and monthly filtering</w:t>
            </w:r>
          </w:p>
        </w:tc>
      </w:tr>
      <w:tr>
        <w:tc>
          <w:tcPr>
            <w:tcW w:type="dxa" w:w="2160"/>
            <w:shd w:fill="F7FAFC"/>
            <w:tcMar>
              <w:top w:w="80" w:type="dxa"/>
              <w:bottom w:w="80" w:type="dxa"/>
              <w:left w:w="120" w:type="dxa"/>
              <w:right w:w="120" w:type="dxa"/>
            </w:tcMar>
          </w:tcPr>
          <w:p>
            <w:r>
              <w:rPr>
                <w:rFonts w:ascii="Arial" w:hAnsi="Arial"/>
                <w:sz w:val="17"/>
              </w:rPr>
              <w:t>idx_fact_location</w:t>
            </w:r>
          </w:p>
        </w:tc>
        <w:tc>
          <w:tcPr>
            <w:tcW w:type="dxa" w:w="1872"/>
            <w:shd w:fill="F7FAFC"/>
            <w:tcMar>
              <w:top w:w="80" w:type="dxa"/>
              <w:bottom w:w="80" w:type="dxa"/>
              <w:left w:w="120" w:type="dxa"/>
              <w:right w:w="120" w:type="dxa"/>
            </w:tcMar>
          </w:tcPr>
          <w:p>
            <w:r>
              <w:rPr>
                <w:rFonts w:ascii="Arial" w:hAnsi="Arial"/>
                <w:sz w:val="17"/>
              </w:rPr>
              <w:t>fact_property_sales</w:t>
            </w:r>
          </w:p>
        </w:tc>
        <w:tc>
          <w:tcPr>
            <w:tcW w:type="dxa" w:w="2160"/>
            <w:shd w:fill="F7FAFC"/>
            <w:tcMar>
              <w:top w:w="80" w:type="dxa"/>
              <w:bottom w:w="80" w:type="dxa"/>
              <w:left w:w="120" w:type="dxa"/>
              <w:right w:w="120" w:type="dxa"/>
            </w:tcMar>
          </w:tcPr>
          <w:p>
            <w:r>
              <w:rPr>
                <w:rFonts w:ascii="Arial" w:hAnsi="Arial"/>
                <w:sz w:val="17"/>
              </w:rPr>
              <w:t>location_id</w:t>
            </w:r>
          </w:p>
        </w:tc>
        <w:tc>
          <w:tcPr>
            <w:tcW w:type="dxa" w:w="1584"/>
            <w:shd w:fill="F7FAFC"/>
            <w:tcMar>
              <w:top w:w="80" w:type="dxa"/>
              <w:bottom w:w="80" w:type="dxa"/>
              <w:left w:w="120" w:type="dxa"/>
              <w:right w:w="120" w:type="dxa"/>
            </w:tcMar>
          </w:tcPr>
          <w:p>
            <w:r>
              <w:rPr>
                <w:rFonts w:ascii="Arial" w:hAnsi="Arial"/>
                <w:sz w:val="17"/>
              </w:rPr>
              <w:t>Single B-Tree</w:t>
            </w:r>
          </w:p>
        </w:tc>
        <w:tc>
          <w:tcPr>
            <w:tcW w:type="dxa" w:w="2592"/>
            <w:shd w:fill="F7FAFC"/>
            <w:tcMar>
              <w:top w:w="80" w:type="dxa"/>
              <w:bottom w:w="80" w:type="dxa"/>
              <w:left w:w="120" w:type="dxa"/>
              <w:right w:w="120" w:type="dxa"/>
            </w:tcMar>
          </w:tcPr>
          <w:p>
            <w:r>
              <w:rPr>
                <w:rFonts w:ascii="Arial" w:hAnsi="Arial"/>
                <w:sz w:val="17"/>
              </w:rPr>
              <w:t>Accelerates regional spatial joins and postal aggregations</w:t>
            </w:r>
          </w:p>
        </w:tc>
      </w:tr>
      <w:tr>
        <w:tc>
          <w:tcPr>
            <w:tcW w:type="dxa" w:w="2160"/>
            <w:shd w:fill="FFFFFF"/>
            <w:tcMar>
              <w:top w:w="80" w:type="dxa"/>
              <w:bottom w:w="80" w:type="dxa"/>
              <w:left w:w="120" w:type="dxa"/>
              <w:right w:w="120" w:type="dxa"/>
            </w:tcMar>
          </w:tcPr>
          <w:p>
            <w:r>
              <w:rPr>
                <w:rFonts w:ascii="Arial" w:hAnsi="Arial"/>
                <w:sz w:val="17"/>
              </w:rPr>
              <w:t>idx_fact_grade</w:t>
            </w:r>
          </w:p>
        </w:tc>
        <w:tc>
          <w:tcPr>
            <w:tcW w:type="dxa" w:w="1872"/>
            <w:shd w:fill="FFFFFF"/>
            <w:tcMar>
              <w:top w:w="80" w:type="dxa"/>
              <w:bottom w:w="80" w:type="dxa"/>
              <w:left w:w="120" w:type="dxa"/>
              <w:right w:w="120" w:type="dxa"/>
            </w:tcMar>
          </w:tcPr>
          <w:p>
            <w:r>
              <w:rPr>
                <w:rFonts w:ascii="Arial" w:hAnsi="Arial"/>
                <w:sz w:val="17"/>
              </w:rPr>
              <w:t>fact_property_sales</w:t>
            </w:r>
          </w:p>
        </w:tc>
        <w:tc>
          <w:tcPr>
            <w:tcW w:type="dxa" w:w="2160"/>
            <w:shd w:fill="FFFFFF"/>
            <w:tcMar>
              <w:top w:w="80" w:type="dxa"/>
              <w:bottom w:w="80" w:type="dxa"/>
              <w:left w:w="120" w:type="dxa"/>
              <w:right w:w="120" w:type="dxa"/>
            </w:tcMar>
          </w:tcPr>
          <w:p>
            <w:r>
              <w:rPr>
                <w:rFonts w:ascii="Arial" w:hAnsi="Arial"/>
                <w:sz w:val="17"/>
              </w:rPr>
              <w:t>grade_condition_id</w:t>
            </w:r>
          </w:p>
        </w:tc>
        <w:tc>
          <w:tcPr>
            <w:tcW w:type="dxa" w:w="1584"/>
            <w:shd w:fill="FFFFFF"/>
            <w:tcMar>
              <w:top w:w="80" w:type="dxa"/>
              <w:bottom w:w="80" w:type="dxa"/>
              <w:left w:w="120" w:type="dxa"/>
              <w:right w:w="120" w:type="dxa"/>
            </w:tcMar>
          </w:tcPr>
          <w:p>
            <w:r>
              <w:rPr>
                <w:rFonts w:ascii="Arial" w:hAnsi="Arial"/>
                <w:sz w:val="17"/>
              </w:rPr>
              <w:t>Single B-Tree</w:t>
            </w:r>
          </w:p>
        </w:tc>
        <w:tc>
          <w:tcPr>
            <w:tcW w:type="dxa" w:w="2592"/>
            <w:shd w:fill="FFFFFF"/>
            <w:tcMar>
              <w:top w:w="80" w:type="dxa"/>
              <w:bottom w:w="80" w:type="dxa"/>
              <w:left w:w="120" w:type="dxa"/>
              <w:right w:w="120" w:type="dxa"/>
            </w:tcMar>
          </w:tcPr>
          <w:p>
            <w:r>
              <w:rPr>
                <w:rFonts w:ascii="Arial" w:hAnsi="Arial"/>
                <w:sz w:val="17"/>
              </w:rPr>
              <w:t>Accelerates joins on property construction ratings</w:t>
            </w:r>
          </w:p>
        </w:tc>
      </w:tr>
      <w:tr>
        <w:tc>
          <w:tcPr>
            <w:tcW w:type="dxa" w:w="2160"/>
            <w:shd w:fill="F7FAFC"/>
            <w:tcMar>
              <w:top w:w="80" w:type="dxa"/>
              <w:bottom w:w="80" w:type="dxa"/>
              <w:left w:w="120" w:type="dxa"/>
              <w:right w:w="120" w:type="dxa"/>
            </w:tcMar>
          </w:tcPr>
          <w:p>
            <w:r>
              <w:rPr>
                <w:rFonts w:ascii="Arial" w:hAnsi="Arial"/>
                <w:sz w:val="17"/>
              </w:rPr>
              <w:t>idx_fact_property</w:t>
            </w:r>
          </w:p>
        </w:tc>
        <w:tc>
          <w:tcPr>
            <w:tcW w:type="dxa" w:w="1872"/>
            <w:shd w:fill="F7FAFC"/>
            <w:tcMar>
              <w:top w:w="80" w:type="dxa"/>
              <w:bottom w:w="80" w:type="dxa"/>
              <w:left w:w="120" w:type="dxa"/>
              <w:right w:w="120" w:type="dxa"/>
            </w:tcMar>
          </w:tcPr>
          <w:p>
            <w:r>
              <w:rPr>
                <w:rFonts w:ascii="Arial" w:hAnsi="Arial"/>
                <w:sz w:val="17"/>
              </w:rPr>
              <w:t>fact_property_sales</w:t>
            </w:r>
          </w:p>
        </w:tc>
        <w:tc>
          <w:tcPr>
            <w:tcW w:type="dxa" w:w="2160"/>
            <w:shd w:fill="F7FAFC"/>
            <w:tcMar>
              <w:top w:w="80" w:type="dxa"/>
              <w:bottom w:w="80" w:type="dxa"/>
              <w:left w:w="120" w:type="dxa"/>
              <w:right w:w="120" w:type="dxa"/>
            </w:tcMar>
          </w:tcPr>
          <w:p>
            <w:r>
              <w:rPr>
                <w:rFonts w:ascii="Arial" w:hAnsi="Arial"/>
                <w:sz w:val="17"/>
              </w:rPr>
              <w:t>property_id</w:t>
            </w:r>
          </w:p>
        </w:tc>
        <w:tc>
          <w:tcPr>
            <w:tcW w:type="dxa" w:w="1584"/>
            <w:shd w:fill="F7FAFC"/>
            <w:tcMar>
              <w:top w:w="80" w:type="dxa"/>
              <w:bottom w:w="80" w:type="dxa"/>
              <w:left w:w="120" w:type="dxa"/>
              <w:right w:w="120" w:type="dxa"/>
            </w:tcMar>
          </w:tcPr>
          <w:p>
            <w:r>
              <w:rPr>
                <w:rFonts w:ascii="Arial" w:hAnsi="Arial"/>
                <w:sz w:val="17"/>
              </w:rPr>
              <w:t>Single B-Tree</w:t>
            </w:r>
          </w:p>
        </w:tc>
        <w:tc>
          <w:tcPr>
            <w:tcW w:type="dxa" w:w="2592"/>
            <w:shd w:fill="F7FAFC"/>
            <w:tcMar>
              <w:top w:w="80" w:type="dxa"/>
              <w:bottom w:w="80" w:type="dxa"/>
              <w:left w:w="120" w:type="dxa"/>
              <w:right w:w="120" w:type="dxa"/>
            </w:tcMar>
          </w:tcPr>
          <w:p>
            <w:r>
              <w:rPr>
                <w:rFonts w:ascii="Arial" w:hAnsi="Arial"/>
                <w:sz w:val="17"/>
              </w:rPr>
              <w:t>Speeds up parcel lookup and property history tracing</w:t>
            </w:r>
          </w:p>
        </w:tc>
      </w:tr>
      <w:tr>
        <w:tc>
          <w:tcPr>
            <w:tcW w:type="dxa" w:w="2160"/>
            <w:shd w:fill="FFFFFF"/>
            <w:tcMar>
              <w:top w:w="80" w:type="dxa"/>
              <w:bottom w:w="80" w:type="dxa"/>
              <w:left w:w="120" w:type="dxa"/>
              <w:right w:w="120" w:type="dxa"/>
            </w:tcMar>
          </w:tcPr>
          <w:p>
            <w:r>
              <w:rPr>
                <w:rFonts w:ascii="Arial" w:hAnsi="Arial"/>
                <w:sz w:val="17"/>
              </w:rPr>
              <w:t>idx_dim_loc_zip</w:t>
            </w:r>
          </w:p>
        </w:tc>
        <w:tc>
          <w:tcPr>
            <w:tcW w:type="dxa" w:w="1872"/>
            <w:shd w:fill="FFFFFF"/>
            <w:tcMar>
              <w:top w:w="80" w:type="dxa"/>
              <w:bottom w:w="80" w:type="dxa"/>
              <w:left w:w="120" w:type="dxa"/>
              <w:right w:w="120" w:type="dxa"/>
            </w:tcMar>
          </w:tcPr>
          <w:p>
            <w:r>
              <w:rPr>
                <w:rFonts w:ascii="Arial" w:hAnsi="Arial"/>
                <w:sz w:val="17"/>
              </w:rPr>
              <w:t>dim_location</w:t>
            </w:r>
          </w:p>
        </w:tc>
        <w:tc>
          <w:tcPr>
            <w:tcW w:type="dxa" w:w="2160"/>
            <w:shd w:fill="FFFFFF"/>
            <w:tcMar>
              <w:top w:w="80" w:type="dxa"/>
              <w:bottom w:w="80" w:type="dxa"/>
              <w:left w:w="120" w:type="dxa"/>
              <w:right w:w="120" w:type="dxa"/>
            </w:tcMar>
          </w:tcPr>
          <w:p>
            <w:r>
              <w:rPr>
                <w:rFonts w:ascii="Arial" w:hAnsi="Arial"/>
                <w:sz w:val="17"/>
              </w:rPr>
              <w:t>zipcode</w:t>
            </w:r>
          </w:p>
        </w:tc>
        <w:tc>
          <w:tcPr>
            <w:tcW w:type="dxa" w:w="1584"/>
            <w:shd w:fill="FFFFFF"/>
            <w:tcMar>
              <w:top w:w="80" w:type="dxa"/>
              <w:bottom w:w="80" w:type="dxa"/>
              <w:left w:w="120" w:type="dxa"/>
              <w:right w:w="120" w:type="dxa"/>
            </w:tcMar>
          </w:tcPr>
          <w:p>
            <w:r>
              <w:rPr>
                <w:rFonts w:ascii="Arial" w:hAnsi="Arial"/>
                <w:sz w:val="17"/>
              </w:rPr>
              <w:t>Single B-Tree</w:t>
            </w:r>
          </w:p>
        </w:tc>
        <w:tc>
          <w:tcPr>
            <w:tcW w:type="dxa" w:w="2592"/>
            <w:shd w:fill="FFFFFF"/>
            <w:tcMar>
              <w:top w:w="80" w:type="dxa"/>
              <w:bottom w:w="80" w:type="dxa"/>
              <w:left w:w="120" w:type="dxa"/>
              <w:right w:w="120" w:type="dxa"/>
            </w:tcMar>
          </w:tcPr>
          <w:p>
            <w:r>
              <w:rPr>
                <w:rFonts w:ascii="Arial" w:hAnsi="Arial"/>
                <w:sz w:val="17"/>
              </w:rPr>
              <w:t>Accelerates zipcode filtering and spatial grouping</w:t>
            </w:r>
          </w:p>
        </w:tc>
      </w:tr>
      <w:tr>
        <w:tc>
          <w:tcPr>
            <w:tcW w:type="dxa" w:w="2160"/>
            <w:shd w:fill="F7FAFC"/>
            <w:tcMar>
              <w:top w:w="80" w:type="dxa"/>
              <w:bottom w:w="80" w:type="dxa"/>
              <w:left w:w="120" w:type="dxa"/>
              <w:right w:w="120" w:type="dxa"/>
            </w:tcMar>
          </w:tcPr>
          <w:p>
            <w:r>
              <w:rPr>
                <w:rFonts w:ascii="Arial" w:hAnsi="Arial"/>
                <w:sz w:val="17"/>
              </w:rPr>
              <w:t>idx_dim_date_ym</w:t>
            </w:r>
          </w:p>
        </w:tc>
        <w:tc>
          <w:tcPr>
            <w:tcW w:type="dxa" w:w="1872"/>
            <w:shd w:fill="F7FAFC"/>
            <w:tcMar>
              <w:top w:w="80" w:type="dxa"/>
              <w:bottom w:w="80" w:type="dxa"/>
              <w:left w:w="120" w:type="dxa"/>
              <w:right w:w="120" w:type="dxa"/>
            </w:tcMar>
          </w:tcPr>
          <w:p>
            <w:r>
              <w:rPr>
                <w:rFonts w:ascii="Arial" w:hAnsi="Arial"/>
                <w:sz w:val="17"/>
              </w:rPr>
              <w:t>dim_date</w:t>
            </w:r>
          </w:p>
        </w:tc>
        <w:tc>
          <w:tcPr>
            <w:tcW w:type="dxa" w:w="2160"/>
            <w:shd w:fill="F7FAFC"/>
            <w:tcMar>
              <w:top w:w="80" w:type="dxa"/>
              <w:bottom w:w="80" w:type="dxa"/>
              <w:left w:w="120" w:type="dxa"/>
              <w:right w:w="120" w:type="dxa"/>
            </w:tcMar>
          </w:tcPr>
          <w:p>
            <w:r>
              <w:rPr>
                <w:rFonts w:ascii="Arial" w:hAnsi="Arial"/>
                <w:sz w:val="17"/>
              </w:rPr>
              <w:t>year, month</w:t>
            </w:r>
          </w:p>
        </w:tc>
        <w:tc>
          <w:tcPr>
            <w:tcW w:type="dxa" w:w="1584"/>
            <w:shd w:fill="F7FAFC"/>
            <w:tcMar>
              <w:top w:w="80" w:type="dxa"/>
              <w:bottom w:w="80" w:type="dxa"/>
              <w:left w:w="120" w:type="dxa"/>
              <w:right w:w="120" w:type="dxa"/>
            </w:tcMar>
          </w:tcPr>
          <w:p>
            <w:r>
              <w:rPr>
                <w:rFonts w:ascii="Arial" w:hAnsi="Arial"/>
                <w:sz w:val="17"/>
              </w:rPr>
              <w:t>Compound B-Tree</w:t>
            </w:r>
          </w:p>
        </w:tc>
        <w:tc>
          <w:tcPr>
            <w:tcW w:type="dxa" w:w="2592"/>
            <w:shd w:fill="F7FAFC"/>
            <w:tcMar>
              <w:top w:w="80" w:type="dxa"/>
              <w:bottom w:w="80" w:type="dxa"/>
              <w:left w:w="120" w:type="dxa"/>
              <w:right w:w="120" w:type="dxa"/>
            </w:tcMar>
          </w:tcPr>
          <w:p>
            <w:r>
              <w:rPr>
                <w:rFonts w:ascii="Arial" w:hAnsi="Arial"/>
                <w:sz w:val="17"/>
              </w:rPr>
              <w:t>Enables index skip scans on year/month time-series queries</w:t>
            </w:r>
          </w:p>
        </w:tc>
      </w:tr>
      <w:tr>
        <w:tc>
          <w:tcPr>
            <w:tcW w:type="dxa" w:w="2160"/>
            <w:shd w:fill="FFFFFF"/>
            <w:tcMar>
              <w:top w:w="80" w:type="dxa"/>
              <w:bottom w:w="80" w:type="dxa"/>
              <w:left w:w="120" w:type="dxa"/>
              <w:right w:w="120" w:type="dxa"/>
            </w:tcMar>
          </w:tcPr>
          <w:p>
            <w:r>
              <w:rPr>
                <w:rFonts w:ascii="Arial" w:hAnsi="Arial"/>
                <w:sz w:val="17"/>
              </w:rPr>
              <w:t>idx_fact_date_price</w:t>
            </w:r>
          </w:p>
        </w:tc>
        <w:tc>
          <w:tcPr>
            <w:tcW w:type="dxa" w:w="1872"/>
            <w:shd w:fill="FFFFFF"/>
            <w:tcMar>
              <w:top w:w="80" w:type="dxa"/>
              <w:bottom w:w="80" w:type="dxa"/>
              <w:left w:w="120" w:type="dxa"/>
              <w:right w:w="120" w:type="dxa"/>
            </w:tcMar>
          </w:tcPr>
          <w:p>
            <w:r>
              <w:rPr>
                <w:rFonts w:ascii="Arial" w:hAnsi="Arial"/>
                <w:sz w:val="17"/>
              </w:rPr>
              <w:t>fact_property_sales</w:t>
            </w:r>
          </w:p>
        </w:tc>
        <w:tc>
          <w:tcPr>
            <w:tcW w:type="dxa" w:w="2160"/>
            <w:shd w:fill="FFFFFF"/>
            <w:tcMar>
              <w:top w:w="80" w:type="dxa"/>
              <w:bottom w:w="80" w:type="dxa"/>
              <w:left w:w="120" w:type="dxa"/>
              <w:right w:w="120" w:type="dxa"/>
            </w:tcMar>
          </w:tcPr>
          <w:p>
            <w:r>
              <w:rPr>
                <w:rFonts w:ascii="Arial" w:hAnsi="Arial"/>
                <w:sz w:val="17"/>
              </w:rPr>
              <w:t>date_id, price</w:t>
            </w:r>
          </w:p>
        </w:tc>
        <w:tc>
          <w:tcPr>
            <w:tcW w:type="dxa" w:w="1584"/>
            <w:shd w:fill="FFFFFF"/>
            <w:tcMar>
              <w:top w:w="80" w:type="dxa"/>
              <w:bottom w:w="80" w:type="dxa"/>
              <w:left w:w="120" w:type="dxa"/>
              <w:right w:w="120" w:type="dxa"/>
            </w:tcMar>
          </w:tcPr>
          <w:p>
            <w:r>
              <w:rPr>
                <w:rFonts w:ascii="Arial" w:hAnsi="Arial"/>
                <w:sz w:val="17"/>
              </w:rPr>
              <w:t>Compound B-Tree</w:t>
            </w:r>
          </w:p>
        </w:tc>
        <w:tc>
          <w:tcPr>
            <w:tcW w:type="dxa" w:w="2592"/>
            <w:shd w:fill="FFFFFF"/>
            <w:tcMar>
              <w:top w:w="80" w:type="dxa"/>
              <w:bottom w:w="80" w:type="dxa"/>
              <w:left w:w="120" w:type="dxa"/>
              <w:right w:w="120" w:type="dxa"/>
            </w:tcMar>
          </w:tcPr>
          <w:p>
            <w:r>
              <w:rPr>
                <w:rFonts w:ascii="Arial" w:hAnsi="Arial"/>
                <w:sz w:val="17"/>
              </w:rPr>
              <w:t>Eliminates table scans when querying date ranges with price thresholds</w:t>
            </w:r>
          </w:p>
        </w:tc>
      </w:tr>
      <w:tr>
        <w:tc>
          <w:tcPr>
            <w:tcW w:type="dxa" w:w="2160"/>
            <w:shd w:fill="F7FAFC"/>
            <w:tcMar>
              <w:top w:w="80" w:type="dxa"/>
              <w:bottom w:w="80" w:type="dxa"/>
              <w:left w:w="120" w:type="dxa"/>
              <w:right w:w="120" w:type="dxa"/>
            </w:tcMar>
          </w:tcPr>
          <w:p>
            <w:r>
              <w:rPr>
                <w:rFonts w:ascii="Arial" w:hAnsi="Arial"/>
                <w:sz w:val="17"/>
              </w:rPr>
              <w:t>idx_fact_loc_price_sqft</w:t>
            </w:r>
          </w:p>
        </w:tc>
        <w:tc>
          <w:tcPr>
            <w:tcW w:type="dxa" w:w="1872"/>
            <w:shd w:fill="F7FAFC"/>
            <w:tcMar>
              <w:top w:w="80" w:type="dxa"/>
              <w:bottom w:w="80" w:type="dxa"/>
              <w:left w:w="120" w:type="dxa"/>
              <w:right w:w="120" w:type="dxa"/>
            </w:tcMar>
          </w:tcPr>
          <w:p>
            <w:r>
              <w:rPr>
                <w:rFonts w:ascii="Arial" w:hAnsi="Arial"/>
                <w:sz w:val="17"/>
              </w:rPr>
              <w:t>fact_property_sales</w:t>
            </w:r>
          </w:p>
        </w:tc>
        <w:tc>
          <w:tcPr>
            <w:tcW w:type="dxa" w:w="2160"/>
            <w:shd w:fill="F7FAFC"/>
            <w:tcMar>
              <w:top w:w="80" w:type="dxa"/>
              <w:bottom w:w="80" w:type="dxa"/>
              <w:left w:w="120" w:type="dxa"/>
              <w:right w:w="120" w:type="dxa"/>
            </w:tcMar>
          </w:tcPr>
          <w:p>
            <w:r>
              <w:rPr>
                <w:rFonts w:ascii="Arial" w:hAnsi="Arial"/>
                <w:sz w:val="17"/>
              </w:rPr>
              <w:t>location_id, price, sqft_living</w:t>
            </w:r>
          </w:p>
        </w:tc>
        <w:tc>
          <w:tcPr>
            <w:tcW w:type="dxa" w:w="1584"/>
            <w:shd w:fill="F7FAFC"/>
            <w:tcMar>
              <w:top w:w="80" w:type="dxa"/>
              <w:bottom w:w="80" w:type="dxa"/>
              <w:left w:w="120" w:type="dxa"/>
              <w:right w:w="120" w:type="dxa"/>
            </w:tcMar>
          </w:tcPr>
          <w:p>
            <w:r>
              <w:rPr>
                <w:rFonts w:ascii="Arial" w:hAnsi="Arial"/>
                <w:sz w:val="17"/>
              </w:rPr>
              <w:t>Compound Covering</w:t>
            </w:r>
          </w:p>
        </w:tc>
        <w:tc>
          <w:tcPr>
            <w:tcW w:type="dxa" w:w="2592"/>
            <w:shd w:fill="F7FAFC"/>
            <w:tcMar>
              <w:top w:w="80" w:type="dxa"/>
              <w:bottom w:w="80" w:type="dxa"/>
              <w:left w:w="120" w:type="dxa"/>
              <w:right w:w="120" w:type="dxa"/>
            </w:tcMar>
          </w:tcPr>
          <w:p>
            <w:r>
              <w:rPr>
                <w:rFonts w:ascii="Arial" w:hAnsi="Arial"/>
                <w:sz w:val="17"/>
              </w:rPr>
              <w:t>Directly satisfies regional valuation queries without table heap reads</w:t>
            </w:r>
          </w:p>
        </w:tc>
      </w:tr>
      <w:tr>
        <w:tc>
          <w:tcPr>
            <w:tcW w:type="dxa" w:w="2160"/>
            <w:shd w:fill="FFFFFF"/>
            <w:tcMar>
              <w:top w:w="80" w:type="dxa"/>
              <w:bottom w:w="80" w:type="dxa"/>
              <w:left w:w="120" w:type="dxa"/>
              <w:right w:w="120" w:type="dxa"/>
            </w:tcMar>
          </w:tcPr>
          <w:p>
            <w:r>
              <w:rPr>
                <w:rFonts w:ascii="Arial" w:hAnsi="Arial"/>
                <w:sz w:val="17"/>
              </w:rPr>
              <w:t>idx_fact_grade_price</w:t>
            </w:r>
          </w:p>
        </w:tc>
        <w:tc>
          <w:tcPr>
            <w:tcW w:type="dxa" w:w="1872"/>
            <w:shd w:fill="FFFFFF"/>
            <w:tcMar>
              <w:top w:w="80" w:type="dxa"/>
              <w:bottom w:w="80" w:type="dxa"/>
              <w:left w:w="120" w:type="dxa"/>
              <w:right w:w="120" w:type="dxa"/>
            </w:tcMar>
          </w:tcPr>
          <w:p>
            <w:r>
              <w:rPr>
                <w:rFonts w:ascii="Arial" w:hAnsi="Arial"/>
                <w:sz w:val="17"/>
              </w:rPr>
              <w:t>fact_property_sales</w:t>
            </w:r>
          </w:p>
        </w:tc>
        <w:tc>
          <w:tcPr>
            <w:tcW w:type="dxa" w:w="2160"/>
            <w:shd w:fill="FFFFFF"/>
            <w:tcMar>
              <w:top w:w="80" w:type="dxa"/>
              <w:bottom w:w="80" w:type="dxa"/>
              <w:left w:w="120" w:type="dxa"/>
              <w:right w:w="120" w:type="dxa"/>
            </w:tcMar>
          </w:tcPr>
          <w:p>
            <w:r>
              <w:rPr>
                <w:rFonts w:ascii="Arial" w:hAnsi="Arial"/>
                <w:sz w:val="17"/>
              </w:rPr>
              <w:t>grade_condition_id, price</w:t>
            </w:r>
          </w:p>
        </w:tc>
        <w:tc>
          <w:tcPr>
            <w:tcW w:type="dxa" w:w="1584"/>
            <w:shd w:fill="FFFFFF"/>
            <w:tcMar>
              <w:top w:w="80" w:type="dxa"/>
              <w:bottom w:w="80" w:type="dxa"/>
              <w:left w:w="120" w:type="dxa"/>
              <w:right w:w="120" w:type="dxa"/>
            </w:tcMar>
          </w:tcPr>
          <w:p>
            <w:r>
              <w:rPr>
                <w:rFonts w:ascii="Arial" w:hAnsi="Arial"/>
                <w:sz w:val="17"/>
              </w:rPr>
              <w:t>Compound B-Tree</w:t>
            </w:r>
          </w:p>
        </w:tc>
        <w:tc>
          <w:tcPr>
            <w:tcW w:type="dxa" w:w="2592"/>
            <w:shd w:fill="FFFFFF"/>
            <w:tcMar>
              <w:top w:w="80" w:type="dxa"/>
              <w:bottom w:w="80" w:type="dxa"/>
              <w:left w:w="120" w:type="dxa"/>
              <w:right w:w="120" w:type="dxa"/>
            </w:tcMar>
          </w:tcPr>
          <w:p>
            <w:r>
              <w:rPr>
                <w:rFonts w:ascii="Arial" w:hAnsi="Arial"/>
                <w:sz w:val="17"/>
              </w:rPr>
              <w:t>Replaces full table scans with index searches for luxury grade filtering</w:t>
            </w:r>
          </w:p>
        </w:tc>
      </w:tr>
      <w:tr>
        <w:tc>
          <w:tcPr>
            <w:tcW w:type="dxa" w:w="2160"/>
            <w:shd w:fill="F7FAFC"/>
            <w:tcMar>
              <w:top w:w="80" w:type="dxa"/>
              <w:bottom w:w="80" w:type="dxa"/>
              <w:left w:w="120" w:type="dxa"/>
              <w:right w:w="120" w:type="dxa"/>
            </w:tcMar>
          </w:tcPr>
          <w:p>
            <w:r>
              <w:rPr>
                <w:rFonts w:ascii="Arial" w:hAnsi="Arial"/>
                <w:sz w:val="17"/>
              </w:rPr>
              <w:t>idx_fact_bed_price</w:t>
            </w:r>
          </w:p>
        </w:tc>
        <w:tc>
          <w:tcPr>
            <w:tcW w:type="dxa" w:w="1872"/>
            <w:shd w:fill="F7FAFC"/>
            <w:tcMar>
              <w:top w:w="80" w:type="dxa"/>
              <w:bottom w:w="80" w:type="dxa"/>
              <w:left w:w="120" w:type="dxa"/>
              <w:right w:w="120" w:type="dxa"/>
            </w:tcMar>
          </w:tcPr>
          <w:p>
            <w:r>
              <w:rPr>
                <w:rFonts w:ascii="Arial" w:hAnsi="Arial"/>
                <w:sz w:val="17"/>
              </w:rPr>
              <w:t>fact_property_sales</w:t>
            </w:r>
          </w:p>
        </w:tc>
        <w:tc>
          <w:tcPr>
            <w:tcW w:type="dxa" w:w="2160"/>
            <w:shd w:fill="F7FAFC"/>
            <w:tcMar>
              <w:top w:w="80" w:type="dxa"/>
              <w:bottom w:w="80" w:type="dxa"/>
              <w:left w:w="120" w:type="dxa"/>
              <w:right w:w="120" w:type="dxa"/>
            </w:tcMar>
          </w:tcPr>
          <w:p>
            <w:r>
              <w:rPr>
                <w:rFonts w:ascii="Arial" w:hAnsi="Arial"/>
                <w:sz w:val="17"/>
              </w:rPr>
              <w:t>bedrooms, price</w:t>
            </w:r>
          </w:p>
        </w:tc>
        <w:tc>
          <w:tcPr>
            <w:tcW w:type="dxa" w:w="1584"/>
            <w:shd w:fill="F7FAFC"/>
            <w:tcMar>
              <w:top w:w="80" w:type="dxa"/>
              <w:bottom w:w="80" w:type="dxa"/>
              <w:left w:w="120" w:type="dxa"/>
              <w:right w:w="120" w:type="dxa"/>
            </w:tcMar>
          </w:tcPr>
          <w:p>
            <w:r>
              <w:rPr>
                <w:rFonts w:ascii="Arial" w:hAnsi="Arial"/>
                <w:sz w:val="17"/>
              </w:rPr>
              <w:t>Compound B-Tree</w:t>
            </w:r>
          </w:p>
        </w:tc>
        <w:tc>
          <w:tcPr>
            <w:tcW w:type="dxa" w:w="2592"/>
            <w:shd w:fill="F7FAFC"/>
            <w:tcMar>
              <w:top w:w="80" w:type="dxa"/>
              <w:bottom w:w="80" w:type="dxa"/>
              <w:left w:w="120" w:type="dxa"/>
              <w:right w:w="120" w:type="dxa"/>
            </w:tcMar>
          </w:tcPr>
          <w:p>
            <w:r>
              <w:rPr>
                <w:rFonts w:ascii="Arial" w:hAnsi="Arial"/>
                <w:sz w:val="17"/>
              </w:rPr>
              <w:t>Accelerates bedroom-level market segment aggregations</w:t>
            </w:r>
          </w:p>
        </w:tc>
      </w:tr>
      <w:tr>
        <w:tc>
          <w:tcPr>
            <w:tcW w:type="dxa" w:w="2160"/>
            <w:shd w:fill="FFFFFF"/>
            <w:tcMar>
              <w:top w:w="80" w:type="dxa"/>
              <w:bottom w:w="80" w:type="dxa"/>
              <w:left w:w="120" w:type="dxa"/>
              <w:right w:w="120" w:type="dxa"/>
            </w:tcMar>
          </w:tcPr>
          <w:p>
            <w:r>
              <w:rPr>
                <w:rFonts w:ascii="Arial" w:hAnsi="Arial"/>
                <w:sz w:val="17"/>
              </w:rPr>
              <w:t>2dsphere (Mongo)</w:t>
            </w:r>
          </w:p>
        </w:tc>
        <w:tc>
          <w:tcPr>
            <w:tcW w:type="dxa" w:w="1872"/>
            <w:shd w:fill="FFFFFF"/>
            <w:tcMar>
              <w:top w:w="80" w:type="dxa"/>
              <w:bottom w:w="80" w:type="dxa"/>
              <w:left w:w="120" w:type="dxa"/>
              <w:right w:w="120" w:type="dxa"/>
            </w:tcMar>
          </w:tcPr>
          <w:p>
            <w:r>
              <w:rPr>
                <w:rFonts w:ascii="Arial" w:hAnsi="Arial"/>
                <w:sz w:val="17"/>
              </w:rPr>
              <w:t>property_features</w:t>
            </w:r>
          </w:p>
        </w:tc>
        <w:tc>
          <w:tcPr>
            <w:tcW w:type="dxa" w:w="2160"/>
            <w:shd w:fill="FFFFFF"/>
            <w:tcMar>
              <w:top w:w="80" w:type="dxa"/>
              <w:bottom w:w="80" w:type="dxa"/>
              <w:left w:w="120" w:type="dxa"/>
              <w:right w:w="120" w:type="dxa"/>
            </w:tcMar>
          </w:tcPr>
          <w:p>
            <w:r>
              <w:rPr>
                <w:rFonts w:ascii="Arial" w:hAnsi="Arial"/>
                <w:sz w:val="17"/>
              </w:rPr>
              <w:t>neighborhood_context.location</w:t>
            </w:r>
          </w:p>
        </w:tc>
        <w:tc>
          <w:tcPr>
            <w:tcW w:type="dxa" w:w="1584"/>
            <w:shd w:fill="FFFFFF"/>
            <w:tcMar>
              <w:top w:w="80" w:type="dxa"/>
              <w:bottom w:w="80" w:type="dxa"/>
              <w:left w:w="120" w:type="dxa"/>
              <w:right w:w="120" w:type="dxa"/>
            </w:tcMar>
          </w:tcPr>
          <w:p>
            <w:r>
              <w:rPr>
                <w:rFonts w:ascii="Arial" w:hAnsi="Arial"/>
                <w:sz w:val="17"/>
              </w:rPr>
              <w:t>2dsphere Spatial</w:t>
            </w:r>
          </w:p>
        </w:tc>
        <w:tc>
          <w:tcPr>
            <w:tcW w:type="dxa" w:w="2592"/>
            <w:shd w:fill="FFFFFF"/>
            <w:tcMar>
              <w:top w:w="80" w:type="dxa"/>
              <w:bottom w:w="80" w:type="dxa"/>
              <w:left w:w="120" w:type="dxa"/>
              <w:right w:w="120" w:type="dxa"/>
            </w:tcMar>
          </w:tcPr>
          <w:p>
            <w:r>
              <w:rPr>
                <w:rFonts w:ascii="Arial" w:hAnsi="Arial"/>
                <w:sz w:val="17"/>
              </w:rPr>
              <w:t>Enables geospatial indexing and radius queries ($near, $geoWithin)</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