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spacing w:after="300"/>
        <w:jc w:val="center"/>
      </w:pPr>
      <w:r>
        <w:rPr>
          <w:rFonts w:ascii="Times New Roman" w:hAnsi="Times New Roman"/>
          <w:b/>
          <w:color w:val="000000"/>
          <w:sz w:val="24"/>
        </w:rPr>
        <w:t>UNIVERSIDAD NACIONAL DE CAJAMARCA</w:t>
        <w:br/>
      </w:r>
    </w:p>
    <w:p>
      <w:pPr>
        <w:spacing w:after="300"/>
        <w:jc w:val="center"/>
      </w:pPr>
      <w:r>
        <w:rPr>
          <w:rFonts w:ascii="Times New Roman" w:hAnsi="Times New Roman"/>
          <w:b/>
          <w:color w:val="000000"/>
          <w:sz w:val="24"/>
        </w:rPr>
        <w:t>INFORME EJECUTIVO ANALÍTICO DE INTELIGENCIA DE NEGOCIOS Y GESTIÓN DE SEGURIDAD</w:t>
        <w:br/>
      </w:r>
    </w:p>
    <w:p>
      <w:pPr>
        <w:spacing w:after="600"/>
        <w:jc w:val="center"/>
      </w:pPr>
      <w:r>
        <w:rPr>
          <w:rFonts w:ascii="Times New Roman" w:hAnsi="Times New Roman"/>
          <w:color w:val="000000"/>
          <w:sz w:val="24"/>
        </w:rPr>
        <w:t>Tercera Evaluación de Base de Datos II - Grupo B (Alternativa B: Python)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Asignatura: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4"/>
              </w:rPr>
              <w:t>Base de Datos II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Estudiante: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4"/>
              </w:rPr>
              <w:t>Cristian Paul Alvarado Minchan / VonRabbid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Base de Datos: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4"/>
              </w:rPr>
              <w:t>TURISMOPERU_CPAM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4"/>
        </w:rPr>
        <w:t>1. Resumen Ejecutivo de Métricas Clave (KPIs)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El presente informe recopila los hallazgos analíticos generados a partir de la explotación de la base de datos transaccional TURISMOPERU_CPAM. Los indicadores reflejan la consolidación del primer semestre operativo del año 2026, abarcando clientes registrados, reservas concretadas y flujos de pagos liquidados.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Indicador Clave (KPI)</w:t>
            </w:r>
          </w:p>
        </w:tc>
        <w:tc>
          <w:tcPr>
            <w:tcW w:type="dxa" w:w="2484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Valor Obtenido</w:t>
            </w:r>
          </w:p>
        </w:tc>
        <w:tc>
          <w:tcPr>
            <w:tcW w:type="dxa" w:w="2484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Unidad</w:t>
            </w:r>
          </w:p>
        </w:tc>
        <w:tc>
          <w:tcPr>
            <w:tcW w:type="dxa" w:w="2484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Interpretación de Negocio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Total Clientes</w:t>
            </w:r>
          </w:p>
        </w:tc>
        <w:tc>
          <w:tcPr>
            <w:tcW w:type="dxa" w:w="2484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57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Clientes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Cartera total de clientes registrados y activos.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Total Reservas</w:t>
            </w:r>
          </w:p>
        </w:tc>
        <w:tc>
          <w:tcPr>
            <w:tcW w:type="dxa" w:w="2484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100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Contratos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Volumen total de expedientes de reserva creados.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Total Ingresos Cobrados</w:t>
            </w:r>
          </w:p>
        </w:tc>
        <w:tc>
          <w:tcPr>
            <w:tcW w:type="dxa" w:w="2484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S/. 351,975.00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Soles (PEN)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Monto neto liquidado a través de pasarelas y cajas.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Ticket Promedio (Cobrado)</w:t>
            </w:r>
          </w:p>
        </w:tc>
        <w:tc>
          <w:tcPr>
            <w:tcW w:type="dxa" w:w="2484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S/. 3,519.75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Soles / Reserva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Recaudación media efectiva por reserva generada.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Facturación Contratada</w:t>
            </w:r>
          </w:p>
        </w:tc>
        <w:tc>
          <w:tcPr>
            <w:tcW w:type="dxa" w:w="2484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S/. 407,100.00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Soles (PEN)</w:t>
            </w:r>
          </w:p>
        </w:tc>
        <w:tc>
          <w:tcPr>
            <w:tcW w:type="dxa" w:w="2484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Valor total comercial de paquetes y reservas emitidas.</w:t>
            </w:r>
          </w:p>
        </w:tc>
      </w:tr>
    </w:tbl>
    <w:p>
      <w:pPr>
        <w:spacing w:before="16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4"/>
        </w:rPr>
        <w:t>2. Análisis Operativo: Reservas por Estado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Se evalúa la distribución del ciclo de vida de los contratos de reserva turística para determinar la efectividad en el cumplimiento y detección de deserciones.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estad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4"/>
        </w:rPr>
        <w:t>3. Análisis Financiero: Ingresos por Medio de Pago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La recaudación acumulada fue procesada a través de diversos canales financieros y pasarelas de pago digitales. A continuación se presenta el desglose del capital según canal utilizado: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Medio de Pago</w:t>
            </w:r>
          </w:p>
        </w:tc>
        <w:tc>
          <w:tcPr>
            <w:tcW w:type="dxa" w:w="3312"/>
            <w:shd w:fill="F2F2F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Monto Recaudado (S/.)</w:t>
            </w:r>
          </w:p>
        </w:tc>
        <w:tc>
          <w:tcPr>
            <w:tcW w:type="dxa" w:w="3312"/>
            <w:shd w:fill="F2F2F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Participación (%)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Visa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S/. 148,500.00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42.19%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Mastercard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S/. 84,025.00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23.87%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Transferencia Bancaria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S/. 51,725.00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14.70%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Yape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S/. 46,575.00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13.23%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Efectivo Soles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S/. 18,450.00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5.24%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Plin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S/. 2,700.00</w:t>
            </w:r>
          </w:p>
        </w:tc>
        <w:tc>
          <w:tcPr>
            <w:tcW w:type="dxa" w:w="3312"/>
          </w:tcPr>
          <w:p>
            <w:pPr>
              <w:spacing w:before="60" w:after="60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0.77%</w:t>
            </w:r>
          </w:p>
        </w:tc>
      </w:tr>
    </w:tbl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medios_pa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4"/>
        </w:rPr>
        <w:t>4. Tendencia Temporal y Estacionalidad de la Demanda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El análisis mensual evidencia una clara aceleración en la adquisición de paquetes turísticos conforme avanza el calendario hacia la temporada alta de invierno andino y fiestas nacionales.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peri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4"/>
        </w:rPr>
        <w:t>5. Segmentación de Clientes: Frecuencia y Concentración de Valor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A continuación se contrastan los clientes con mayor frecuencia de contratación frente a aquellos con mayor volumen de facturación monetaria: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top_clientes_reser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669280" cy="314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ingresos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4"/>
        </w:rPr>
        <w:t>6. Conclusiones Analíticas Fundamentadas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A partir de las métricas obtenidas y de la explotación estadística de los registros de TURISMOPERU_CPAM, se formulan las siguientes 5 conclusiones analíticas institucionales:</w:t>
      </w:r>
    </w:p>
    <w:p>
      <w:pPr>
        <w:spacing w:after="160" w:line="276" w:lineRule="auto"/>
      </w:pPr>
      <w:r>
        <w:rPr>
          <w:rFonts w:ascii="Times New Roman" w:hAnsi="Times New Roman"/>
          <w:color w:val="000000"/>
          <w:sz w:val="24"/>
        </w:rPr>
        <w:t>1. Se observa que el 36% de las reservas emitidas se encuentran en estado 'Completada' (36 de 100 reservas), en tanto que un 20% adicional permanece activo en estado 'Parcialmente Pagada' o 'En Proceso'. Asimismo, se constata una tasa de cancelación sumamente reducida de solo el 6% (6 casos), lo que ratifica una alta eficiencia en la conversión comercial y estabilidad en el cumplimiento de los contratos turísticos.</w:t>
      </w:r>
    </w:p>
    <w:p>
      <w:pPr>
        <w:spacing w:after="160" w:line="276" w:lineRule="auto"/>
      </w:pPr>
      <w:r>
        <w:rPr>
          <w:rFonts w:ascii="Times New Roman" w:hAnsi="Times New Roman"/>
          <w:color w:val="000000"/>
          <w:sz w:val="24"/>
        </w:rPr>
        <w:t>2. El medio de pago con mayor recaudación absoluta es la pasarela de tarjetas Visa con un total de S/. 148,500.00 (representando el 42.19% de los fondos totales), seguido por Mastercard con S/. 84,025.00 (23.87%) y las Transferencias Bancarias con S/. 51,725.00 (14.70%). En conjunto, las transacciones electrónicas bancarizadas concentran más del 80% de las operaciones, desplazando ampliamente al uso de dinero en efectivo (S/. 18,450.00 / 5.24%).</w:t>
      </w:r>
    </w:p>
    <w:p>
      <w:pPr>
        <w:spacing w:after="160" w:line="276" w:lineRule="auto"/>
      </w:pPr>
      <w:r>
        <w:rPr>
          <w:rFonts w:ascii="Times New Roman" w:hAnsi="Times New Roman"/>
          <w:color w:val="000000"/>
          <w:sz w:val="24"/>
        </w:rPr>
        <w:t>3. El periodo con mayor afluencia de reservas corresponde a los meses de mayo (25 reservas) y junio de 2026 (26 reservas), los cuales concentran en conjunto el 51% de todo el movimiento registrado en el semestre. Este patrón demuestra la marcada estacionalidad de la demanda hacia festividades de invierno, vacaciones de medio año e itinerarios cusqueños y de sierra peruana, en contraste con el inicio de año (3 reservas en enero).</w:t>
      </w:r>
    </w:p>
    <w:p>
      <w:pPr>
        <w:spacing w:after="160" w:line="276" w:lineRule="auto"/>
      </w:pPr>
      <w:r>
        <w:rPr>
          <w:rFonts w:ascii="Times New Roman" w:hAnsi="Times New Roman"/>
          <w:color w:val="000000"/>
          <w:sz w:val="24"/>
        </w:rPr>
        <w:t>4. Los clientes que concentran el mayor nivel de facturación monetaria son Luisa María Herrera (S/. 19,200.00) y Yolanda Marín (S/. 18,800.00), mientras que el cliente con mayor frecuencia de contratación es Raúl Figueroa con un acumulado de 4 reservas. Esto demuestra la presencia de un segmento VIP corporativo / familiar que representa un alto valor de vida del cliente (Customer Lifetime Value - CLV).</w:t>
      </w:r>
    </w:p>
    <w:p>
      <w:pPr>
        <w:spacing w:after="160" w:line="276" w:lineRule="auto"/>
      </w:pPr>
      <w:r>
        <w:rPr>
          <w:rFonts w:ascii="Times New Roman" w:hAnsi="Times New Roman"/>
          <w:color w:val="000000"/>
          <w:sz w:val="24"/>
        </w:rPr>
        <w:t>5. El comportamiento de ticket promedio, situado en S/. 3,519.75 cobrado por reserva (y S/. 4,071.00 en valor contractual bruto contratado), evidencia que los usuarios contratan paquetes con servicios combinados de hospedaje premium y excursiones turísticas de estancia prolongada, lo que brinda una sólida base financiera y valida la viabilidad comercial de la plataforma TurismoPerú.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