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D2C8" w14:textId="25EE468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Введение в оценку почему это важно и почему важно автоматизировать и смоделировать это</w:t>
      </w:r>
    </w:p>
    <w:p w14:paraId="2D6BBDA5" w14:textId="075E578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Теоретические аспекты именно рынка недвижимости, потом рынка коммерческой недвижимости и затем сферы оценки</w:t>
      </w:r>
    </w:p>
    <w:p w14:paraId="0D292A14" w14:textId="482553E2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Поиск и сбор данных, написание программ для сбора готовых данных</w:t>
      </w:r>
    </w:p>
    <w:p w14:paraId="0DE532D3" w14:textId="1085A398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Анализ собранных данных с использованием как питона, так и кьюгиса</w:t>
      </w:r>
    </w:p>
    <w:p w14:paraId="7718F6F2" w14:textId="42CFE330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Модели</w:t>
      </w:r>
    </w:p>
    <w:p w14:paraId="3A14E572" w14:textId="68CDCD01" w:rsidR="004A62D7" w:rsidRPr="00093799" w:rsidRDefault="004A62D7" w:rsidP="00E724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Практическое применение</w:t>
      </w:r>
    </w:p>
    <w:p w14:paraId="3A3E0843" w14:textId="6C9CE1B2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br w:type="page"/>
      </w:r>
    </w:p>
    <w:p w14:paraId="598B4CB8" w14:textId="7BE583D8" w:rsidR="0063017B" w:rsidRPr="00093799" w:rsidRDefault="0063017B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 xml:space="preserve">В условиях современной экономической системы, </w:t>
      </w:r>
      <w:r w:rsidR="00D735CD" w:rsidRPr="00093799">
        <w:rPr>
          <w:rFonts w:ascii="Times New Roman" w:hAnsi="Times New Roman" w:cs="Times New Roman"/>
          <w:sz w:val="28"/>
          <w:szCs w:val="28"/>
        </w:rPr>
        <w:t>сложившейся</w:t>
      </w:r>
      <w:r w:rsidRPr="00093799">
        <w:rPr>
          <w:rFonts w:ascii="Times New Roman" w:hAnsi="Times New Roman" w:cs="Times New Roman"/>
          <w:sz w:val="28"/>
          <w:szCs w:val="28"/>
        </w:rPr>
        <w:t xml:space="preserve"> в Российской Федерации – роль рынка недвижимости очень велика. Только </w:t>
      </w:r>
      <w:r w:rsidRPr="00093799">
        <w:rPr>
          <w:rFonts w:ascii="Times New Roman" w:hAnsi="Times New Roman" w:cs="Times New Roman"/>
          <w:sz w:val="28"/>
          <w:szCs w:val="28"/>
        </w:rPr>
        <w:t>по прогнозным расчеты за 2024 год</w:t>
      </w:r>
      <w:r w:rsidRPr="00093799">
        <w:rPr>
          <w:rFonts w:ascii="Times New Roman" w:hAnsi="Times New Roman" w:cs="Times New Roman"/>
          <w:sz w:val="28"/>
          <w:szCs w:val="28"/>
        </w:rPr>
        <w:t xml:space="preserve">, операции по недвижимости составляют 9,2% от ВВП, почти аналогичный результат – 9,1% за 2023.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В особенности очень важна коммерческая недвижимость – как показатель вовлеченности населения в образование бизнесов. </w:t>
      </w:r>
      <w:r w:rsidRPr="00093799">
        <w:rPr>
          <w:rFonts w:ascii="Times New Roman" w:hAnsi="Times New Roman" w:cs="Times New Roman"/>
          <w:sz w:val="28"/>
          <w:szCs w:val="28"/>
        </w:rPr>
        <w:t>Экономика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 коммерческой</w:t>
      </w:r>
      <w:r w:rsidRPr="00093799">
        <w:rPr>
          <w:rFonts w:ascii="Times New Roman" w:hAnsi="Times New Roman" w:cs="Times New Roman"/>
          <w:sz w:val="28"/>
          <w:szCs w:val="28"/>
        </w:rPr>
        <w:t xml:space="preserve"> недвижимости вышла из пандемийного кризиса</w:t>
      </w:r>
      <w:r w:rsidR="00D735CD" w:rsidRPr="00093799">
        <w:rPr>
          <w:rFonts w:ascii="Times New Roman" w:hAnsi="Times New Roman" w:cs="Times New Roman"/>
          <w:sz w:val="28"/>
          <w:szCs w:val="28"/>
        </w:rPr>
        <w:t>,</w:t>
      </w:r>
      <w:r w:rsidRPr="00093799">
        <w:rPr>
          <w:rFonts w:ascii="Times New Roman" w:hAnsi="Times New Roman" w:cs="Times New Roman"/>
          <w:sz w:val="28"/>
          <w:szCs w:val="28"/>
        </w:rPr>
        <w:t xml:space="preserve"> и, несмотря на социально-экономическую нестабильность</w:t>
      </w:r>
      <w:r w:rsidR="00D735CD" w:rsidRPr="00093799">
        <w:rPr>
          <w:rFonts w:ascii="Times New Roman" w:hAnsi="Times New Roman" w:cs="Times New Roman"/>
          <w:sz w:val="28"/>
          <w:szCs w:val="28"/>
        </w:rPr>
        <w:t>, сложившуюся в 2022 году - показывает</w:t>
      </w:r>
      <w:r w:rsidRPr="00093799">
        <w:rPr>
          <w:rFonts w:ascii="Times New Roman" w:hAnsi="Times New Roman" w:cs="Times New Roman"/>
          <w:sz w:val="28"/>
          <w:szCs w:val="28"/>
        </w:rPr>
        <w:t xml:space="preserve"> </w:t>
      </w:r>
      <w:r w:rsidR="00D735CD" w:rsidRPr="00093799">
        <w:rPr>
          <w:rFonts w:ascii="Times New Roman" w:hAnsi="Times New Roman" w:cs="Times New Roman"/>
          <w:sz w:val="28"/>
          <w:szCs w:val="28"/>
        </w:rPr>
        <w:t>д</w:t>
      </w:r>
      <w:r w:rsidRPr="00093799">
        <w:rPr>
          <w:rFonts w:ascii="Times New Roman" w:hAnsi="Times New Roman" w:cs="Times New Roman"/>
          <w:sz w:val="28"/>
          <w:szCs w:val="28"/>
        </w:rPr>
        <w:t xml:space="preserve">инамичное развитие в последние годы, </w:t>
      </w:r>
      <w:r w:rsidR="00D735CD" w:rsidRPr="00093799">
        <w:rPr>
          <w:rFonts w:ascii="Times New Roman" w:hAnsi="Times New Roman" w:cs="Times New Roman"/>
          <w:sz w:val="28"/>
          <w:szCs w:val="28"/>
        </w:rPr>
        <w:t xml:space="preserve">тому доказательство - </w:t>
      </w:r>
      <w:r w:rsidRPr="00093799">
        <w:rPr>
          <w:rFonts w:ascii="Times New Roman" w:hAnsi="Times New Roman" w:cs="Times New Roman"/>
          <w:sz w:val="28"/>
          <w:szCs w:val="28"/>
        </w:rPr>
        <w:t>увеличение объема инвестиций в 1,5 раза по всему коммерческому сектору</w:t>
      </w:r>
      <w:r w:rsidR="00D735CD" w:rsidRPr="00093799">
        <w:rPr>
          <w:rFonts w:ascii="Times New Roman" w:hAnsi="Times New Roman" w:cs="Times New Roman"/>
          <w:sz w:val="28"/>
          <w:szCs w:val="28"/>
        </w:rPr>
        <w:t>, по торговым объектам недвижимости – в 2 раза.</w:t>
      </w:r>
    </w:p>
    <w:p w14:paraId="2E7A8279" w14:textId="60008F6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93799">
        <w:rPr>
          <w:rFonts w:ascii="Times New Roman" w:hAnsi="Times New Roman" w:cs="Times New Roman"/>
          <w:color w:val="FF0000"/>
          <w:sz w:val="28"/>
          <w:szCs w:val="28"/>
        </w:rPr>
        <w:t>Для успешного функционирования рынка такого масштаба и объема - очень важно иметь структурированную систему оценивания объектов недвижимости, которая будет функционировать внутри самого рынка</w:t>
      </w:r>
    </w:p>
    <w:p w14:paraId="015BBC0F" w14:textId="543C2F91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Ц</w:t>
      </w:r>
    </w:p>
    <w:p w14:paraId="691A8CF1" w14:textId="3A8894EF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Теоретические аспекты </w:t>
      </w:r>
    </w:p>
    <w:p w14:paraId="6862C607" w14:textId="3CBA2268" w:rsidR="00D735CD" w:rsidRPr="00093799" w:rsidRDefault="00D735CD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При изучении сферы коммерческой недвижимости, первоочередно необходимо определить используемое понятие не только коммерческой недвижимости, но и что подразумевается под недвижимостью и сферой недвижимости в экономике, какие нормативные акты регулируют данную сферу, на каких принципах построен коммерческий рынок.</w:t>
      </w:r>
    </w:p>
    <w:p w14:paraId="24E3E26B" w14:textId="6F3D4243" w:rsidR="00D735CD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Гражданскому кодексу Российской Федерации</w:t>
      </w:r>
      <w:r w:rsidRPr="00093799">
        <w:rPr>
          <w:rFonts w:ascii="Times New Roman" w:hAnsi="Times New Roman" w:cs="Times New Roman"/>
          <w:sz w:val="28"/>
          <w:szCs w:val="28"/>
        </w:rPr>
        <w:t xml:space="preserve"> (ст. 130), к недвижимым вещам (недвижимое имущество, недвижимость)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 Аналогично 130 статье Гражданского кодекса - </w:t>
      </w:r>
      <w:r w:rsidRPr="00093799">
        <w:rPr>
          <w:rFonts w:ascii="Times New Roman" w:hAnsi="Times New Roman" w:cs="Times New Roman"/>
          <w:sz w:val="28"/>
          <w:szCs w:val="28"/>
          <w:highlight w:val="yellow"/>
        </w:rPr>
        <w:t>Федеральный закон № 122-ФЗ</w:t>
      </w:r>
      <w:r w:rsidRPr="00093799">
        <w:rPr>
          <w:rFonts w:ascii="Times New Roman" w:hAnsi="Times New Roman" w:cs="Times New Roman"/>
          <w:sz w:val="28"/>
          <w:szCs w:val="28"/>
        </w:rPr>
        <w:t xml:space="preserve"> от 21 июля 1997 года «О государственной регистрации прав на недвижимое имущество и сделок с </w:t>
      </w:r>
      <w:r w:rsidRPr="00093799">
        <w:rPr>
          <w:rFonts w:ascii="Times New Roman" w:hAnsi="Times New Roman" w:cs="Times New Roman"/>
          <w:sz w:val="28"/>
          <w:szCs w:val="28"/>
        </w:rPr>
        <w:lastRenderedPageBreak/>
        <w:t>ним» (ст. 1) определяет недвижимое имущество как земельные участки, участки недр и все объекты, которые связаны с землей так, что их перемещение без несоразмерного ущерба их назначению невозможно, в том числе здания, сооружения, жилые и нежилые помещения, предприятия как имущественные комплексы.</w:t>
      </w:r>
    </w:p>
    <w:p w14:paraId="2848AE4A" w14:textId="0062CC2D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Исходя из указанного, упрощенным для восприятия термином недвижимости можно считать следующее – объекты (здания, сооружения, жилые и нежилые помещения, предприятия), перемещение которых невозможно без причинения ущерба объекту и его назначению или ограничено по тем же причинам, есть недвижимое имущество.</w:t>
      </w:r>
    </w:p>
    <w:p w14:paraId="43DDA419" w14:textId="5BF27AC5" w:rsidR="00C10FF7" w:rsidRPr="00093799" w:rsidRDefault="00C10FF7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В таком случае, р</w:t>
      </w:r>
      <w:r w:rsidRPr="00093799">
        <w:rPr>
          <w:rFonts w:ascii="Times New Roman" w:hAnsi="Times New Roman" w:cs="Times New Roman"/>
          <w:sz w:val="28"/>
          <w:szCs w:val="28"/>
        </w:rPr>
        <w:t>ынок недвижимости представляет собой систему взаимодействий различных уровней и механизмов, которые регулируют процессы создания, управления, передачи и использования объектов недвижимости для конкретных целей.</w:t>
      </w:r>
    </w:p>
    <w:p w14:paraId="6907A780" w14:textId="54C5A5D4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С учетом того, что недвижимое имущество делится на жилое и нежилое – недвижимость по своему назначению также делится на 2 вида: жилая и коммерческая. Ввиду того, что в данной работе проводится исследование и оценка коммерческой недвижимости, рассматривать тоже имеет смысл именно её. </w:t>
      </w:r>
    </w:p>
    <w:p w14:paraId="01AD36D8" w14:textId="77777777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Коммерческая недвижимость – это собственность, используемая исключительно для решения бизнес-ориентированных задач, то есть получения дохода, или для создания рабочего места, вместо жилого помещения. 8 Чаще всего коммерческая недвижимость сдается в аренду арендаторам для ведения приносящей доход деятельности. Можно выделить несколько признаков нежилого помещения: </w:t>
      </w:r>
    </w:p>
    <w:p w14:paraId="399ED0E9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Юридический статус – «нежилое». </w:t>
      </w:r>
    </w:p>
    <w:p w14:paraId="6C0DB2A1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Наличие отдельного входа, изолированного от входа в жилой дом.</w:t>
      </w:r>
    </w:p>
    <w:p w14:paraId="15D74964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lastRenderedPageBreak/>
        <w:t>Нельзя зарегистрировать граждан, ведь оно не предназначено для проживания.</w:t>
      </w:r>
    </w:p>
    <w:p w14:paraId="0D0F1042" w14:textId="77777777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Можно использовать для регистрации юридического адреса ООО.</w:t>
      </w:r>
    </w:p>
    <w:p w14:paraId="32A7EA43" w14:textId="6CDA4828" w:rsidR="00E724C6" w:rsidRPr="00093799" w:rsidRDefault="00E724C6" w:rsidP="00E724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Повышенные требования к содержанию.</w:t>
      </w:r>
    </w:p>
    <w:p w14:paraId="1E158B28" w14:textId="395F61DA" w:rsidR="00E724C6" w:rsidRPr="00093799" w:rsidRDefault="00E724C6" w:rsidP="00E72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Разделяют три основных вида коммерческой недвижимости:</w:t>
      </w:r>
    </w:p>
    <w:p w14:paraId="1100EE84" w14:textId="725E78A5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Офисные объекты, коммерческие объекты, предназначенные для размещения предприятий, организаций и профессиональных служб. Могут быть как небольшими помещениями, так и крупными комплексами. По своей сути делятся на три категории, в зависимости от качества самого объекта, его местоположения, оснащения и арендной ставки: класс А, класс В, класс С.</w:t>
      </w:r>
    </w:p>
    <w:p w14:paraId="23E7EA09" w14:textId="10BAD826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Торговые помещения или помещения свободного типа — это коммерческие объекты, предлагающие потребительские товары и услуги. Классифицируются в зависимости от их местоположения и состава арендаторов.</w:t>
      </w:r>
    </w:p>
    <w:p w14:paraId="4164BB57" w14:textId="6103949B" w:rsidR="00E724C6" w:rsidRPr="00093799" w:rsidRDefault="00E724C6" w:rsidP="00E724C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>Промышленные (складские) объекты представляют собой помещения, предназначенные для производства товаров, их хранения или для организации функционирования логистической системы. Разделяют на склады для массовых грузов, гибкие помещения, промышленные объекты, а также холодильные камеры.</w:t>
      </w:r>
    </w:p>
    <w:p w14:paraId="2B546568" w14:textId="45148222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799">
        <w:rPr>
          <w:rFonts w:ascii="Times New Roman" w:hAnsi="Times New Roman" w:cs="Times New Roman"/>
          <w:sz w:val="28"/>
          <w:szCs w:val="28"/>
        </w:rPr>
        <w:t xml:space="preserve">Понимая устройство недвижимости, важно также определить принципы, </w:t>
      </w:r>
      <w:r w:rsidRPr="00093799">
        <w:rPr>
          <w:rFonts w:ascii="Times New Roman" w:hAnsi="Times New Roman" w:cs="Times New Roman"/>
          <w:sz w:val="28"/>
          <w:szCs w:val="28"/>
        </w:rPr>
        <w:t>используемые</w:t>
      </w:r>
      <w:r w:rsidRPr="00093799">
        <w:rPr>
          <w:rFonts w:ascii="Times New Roman" w:hAnsi="Times New Roman" w:cs="Times New Roman"/>
          <w:sz w:val="28"/>
          <w:szCs w:val="28"/>
        </w:rPr>
        <w:t xml:space="preserve"> при ее оценке.</w:t>
      </w:r>
    </w:p>
    <w:p w14:paraId="7C5965C9" w14:textId="55378ECA" w:rsidR="00093799" w:rsidRPr="00093799" w:rsidRDefault="00093799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799">
        <w:rPr>
          <w:rFonts w:ascii="Times New Roman" w:hAnsi="Times New Roman" w:cs="Times New Roman"/>
          <w:b/>
          <w:bCs/>
          <w:sz w:val="28"/>
          <w:szCs w:val="28"/>
        </w:rPr>
        <w:t>ПРИНЦИПЫ ОЦЕНКИ НЕДВИЖИМОСТИ</w:t>
      </w:r>
    </w:p>
    <w:p w14:paraId="412F81F6" w14:textId="30C1E593" w:rsidR="00093799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Оценкой недвижимости принято считать процесс определения рыночной или иной стоимости недвижимости и создание определенного отчета о процессе и результатах оценки, то есть официального документа, подтверждающего ликвидность объекта и объективность и независимость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самой оценки. Сама оценка рыночной стоимости недвижимого имущества на территории Российской Федерации выполняется в соответствие с требованиями </w:t>
      </w:r>
      <w:r w:rsidRPr="00D2292F">
        <w:rPr>
          <w:rFonts w:ascii="Times New Roman" w:hAnsi="Times New Roman" w:cs="Times New Roman"/>
          <w:sz w:val="28"/>
          <w:szCs w:val="28"/>
          <w:highlight w:val="yellow"/>
        </w:rPr>
        <w:t>Федерального закона № 135-ФЗ от 29.07.98 г. «Об оценочной деятельности в Российской Федерации», Приказа МЭРТ РФ № 256 от 20.07.2007 г. «Об утверждении федерального стандарта оценки «Общие понятия оценки, подходы к оценке и требования по проведению оценки (ФСО № 1)», Приказа МЭРТ РФ № 255 от 20.07.2007 «Об утверждении федерального стандарта оценки «Цель оценки и виды стоимости (ФСО № 2)», Приказа МЭРТ РФ № 254 от 20.07.2007 «Об утверждении федерального стандарта оценки «Требования к отчету об оценке (ФСО № 3)», Международных стандартов МСО-2005, Европейских стандартов оценки ЕГАО, 2003.</w:t>
      </w:r>
    </w:p>
    <w:p w14:paraId="63B7995E" w14:textId="77777777" w:rsidR="00D2292F" w:rsidRDefault="00D2292F" w:rsidP="00093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изучения указанных выше документов – рыночной стоимостью объекта оценки принято считать наиболее вероятную цену, по которой данный объект может быть отчужден на открытом рынке и в условиях конкуренции, то есть обе стороны сделки действуют разумно, располагают всей необходимой информацией, </w:t>
      </w:r>
      <w:r w:rsidRPr="00D2292F">
        <w:rPr>
          <w:rFonts w:ascii="Times New Roman" w:hAnsi="Times New Roman" w:cs="Times New Roman"/>
          <w:sz w:val="28"/>
          <w:szCs w:val="28"/>
        </w:rPr>
        <w:t xml:space="preserve">а на стоимость объекта не влияют чрезвычайные обстоятельства, а именно: </w:t>
      </w:r>
    </w:p>
    <w:p w14:paraId="1A751A86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Одна из сторон сделки не обязана отчуждать объект оценки, а другая сторона не обязана принимать исполнение; </w:t>
      </w:r>
    </w:p>
    <w:p w14:paraId="17F47AD9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Стороны сделки хорошо осведомлены о предмете сделки и действуют в своих интересах; </w:t>
      </w:r>
    </w:p>
    <w:p w14:paraId="3C2DB34B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Объект оценки представлен на открытый рынок в форме публичной оферты, типичной для аналогичных объектов оценки; </w:t>
      </w:r>
    </w:p>
    <w:p w14:paraId="0A59618E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Цена сделки представляет собой рыночно-ориентированное вознаграждение за объект оценки; </w:t>
      </w:r>
    </w:p>
    <w:p w14:paraId="7EEF4224" w14:textId="77777777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Участие в сделке добровольное для обеих сторон; </w:t>
      </w:r>
    </w:p>
    <w:p w14:paraId="7C18F186" w14:textId="6D1FFB0E" w:rsidR="00D2292F" w:rsidRDefault="00D2292F" w:rsidP="00D2292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Платеж за объект оценки должен быть выражен в денежной форме.</w:t>
      </w:r>
    </w:p>
    <w:p w14:paraId="36BDE5E3" w14:textId="2C7D5982" w:rsidR="00D2292F" w:rsidRDefault="00D2292F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Сама же оценка должна нести в себе не только объективность и независимость, но и структурность, системность, поэтапность в процессе. Поэтому есть определенный порядок оценки:</w:t>
      </w:r>
    </w:p>
    <w:p w14:paraId="20D3B97D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Заключение договора о проведении услуг об оценке объекта(ов); </w:t>
      </w:r>
    </w:p>
    <w:p w14:paraId="3BFDA148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Установление количественных и качественных характеристик объекта;</w:t>
      </w:r>
    </w:p>
    <w:p w14:paraId="528997D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Анализ аналогичного объекту рынка; </w:t>
      </w:r>
    </w:p>
    <w:p w14:paraId="7CAE019A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Выбор методов оценки объекта и проведение соответствующих расчетов; </w:t>
      </w:r>
    </w:p>
    <w:p w14:paraId="169CE337" w14:textId="77777777" w:rsidR="00D2292F" w:rsidRDefault="00D2292F" w:rsidP="00D2292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 xml:space="preserve">Обобщение результатов и составление отчетов по деятельности; </w:t>
      </w:r>
    </w:p>
    <w:p w14:paraId="44CB9BC2" w14:textId="7AA8D265" w:rsidR="00C340FA" w:rsidRPr="00C340FA" w:rsidRDefault="00D2292F" w:rsidP="00C340F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92F">
        <w:rPr>
          <w:rFonts w:ascii="Times New Roman" w:hAnsi="Times New Roman" w:cs="Times New Roman"/>
          <w:sz w:val="28"/>
          <w:szCs w:val="28"/>
        </w:rPr>
        <w:t>Подготовка и передача заказчику отчета об оценке.</w:t>
      </w:r>
    </w:p>
    <w:p w14:paraId="20AD7DC2" w14:textId="0FC3EFFF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к методам оценки, важно правильно и точно определять, каким методом лучше воспользоваться, в зависимости от поставленных задач, для этого необходимо безусловное понимание существующих методов и принципов пользования ими. Тем не менее, важно применять данные методы в совокупности, для более структурного подхода.</w:t>
      </w:r>
    </w:p>
    <w:p w14:paraId="64C6B102" w14:textId="576FD394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Доходный подход – совокупность методов оценки, основанных на определении потенциальных доходов от использования объекта оценки – аренды или перепродажи.</w:t>
      </w:r>
      <w:r w:rsidR="00581A3C">
        <w:rPr>
          <w:rFonts w:ascii="Times New Roman" w:hAnsi="Times New Roman" w:cs="Times New Roman"/>
          <w:sz w:val="28"/>
          <w:szCs w:val="28"/>
        </w:rPr>
        <w:t xml:space="preserve"> Одним из основных методов расчета потенциального дохода (ПД) стоит считать следующую математическую модель:</w:t>
      </w:r>
    </w:p>
    <w:p w14:paraId="1E62FD0D" w14:textId="39982512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ПД=</m:t>
          </m:r>
          <m:r>
            <w:rPr>
              <w:rFonts w:ascii="Cambria Math" w:hAnsi="Cambria Math" w:cs="Times New Roman"/>
              <w:sz w:val="28"/>
              <w:szCs w:val="28"/>
              <w:highlight w:val="red"/>
              <w:lang w:val="en-US"/>
            </w:rPr>
            <m:t>S*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a</m:t>
              </m:r>
            </m:sub>
          </m:sSub>
        </m:oMath>
      </m:oMathPara>
    </w:p>
    <w:p w14:paraId="6E081774" w14:textId="72625F31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1A3C">
        <w:rPr>
          <w:rFonts w:ascii="Times New Roman" w:hAnsi="Times New Roman" w:cs="Times New Roman"/>
          <w:iCs/>
          <w:sz w:val="28"/>
          <w:szCs w:val="28"/>
        </w:rPr>
        <w:t>где S – площадь, сдаваемая в аренду</w:t>
      </w:r>
      <w:r>
        <w:rPr>
          <w:rFonts w:ascii="Times New Roman" w:hAnsi="Times New Roman" w:cs="Times New Roman"/>
          <w:iCs/>
          <w:sz w:val="28"/>
          <w:szCs w:val="28"/>
        </w:rPr>
        <w:t xml:space="preserve"> (м2)</w:t>
      </w:r>
      <w:r w:rsidRPr="00581A3C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58469169" w14:textId="289CF9E4" w:rsidR="00581A3C" w:rsidRPr="00581A3C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1A3C">
        <w:rPr>
          <w:rFonts w:ascii="Times New Roman" w:hAnsi="Times New Roman" w:cs="Times New Roman"/>
          <w:iCs/>
          <w:sz w:val="28"/>
          <w:szCs w:val="28"/>
        </w:rPr>
        <w:t>Ca – арендная ставк</w:t>
      </w:r>
      <w:r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Pr="00581A3C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руб./м2)</w:t>
      </w:r>
      <w:r w:rsidRPr="00581A3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673A97D" w14:textId="701AFEAC" w:rsid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подход – основной подход, основанный на сравнении объекта с аналогичным объектами на рынке. Аналоги определяются учитывая технические характеристики объектов, их </w:t>
      </w:r>
      <w:r>
        <w:rPr>
          <w:rFonts w:ascii="Times New Roman" w:hAnsi="Times New Roman" w:cs="Times New Roman"/>
          <w:sz w:val="28"/>
          <w:szCs w:val="28"/>
        </w:rPr>
        <w:lastRenderedPageBreak/>
        <w:t>геопозицию и планировку.</w:t>
      </w:r>
      <w:r w:rsidR="000A564E">
        <w:rPr>
          <w:rFonts w:ascii="Times New Roman" w:hAnsi="Times New Roman" w:cs="Times New Roman"/>
          <w:sz w:val="28"/>
          <w:szCs w:val="28"/>
        </w:rPr>
        <w:t xml:space="preserve"> Математическая модель оценки объекта недвижимости с использованием следующего подхода будет представлена следующим образом:</w:t>
      </w:r>
    </w:p>
    <w:p w14:paraId="2F07E5B9" w14:textId="3B119AFF" w:rsidR="000A564E" w:rsidRPr="000A564E" w:rsidRDefault="000A564E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</w:rPr>
                    <m:t>o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red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red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83234FA" w14:textId="6BB124BC" w:rsidR="000A564E" w:rsidRDefault="000A564E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аналогов,</w:t>
      </w:r>
    </w:p>
    <w:p w14:paraId="2402992F" w14:textId="19F6CE12" w:rsidR="000A564E" w:rsidRDefault="000A564E" w:rsidP="00C340F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рыночной стоимости объекта оценки,</w:t>
      </w:r>
    </w:p>
    <w:p w14:paraId="403C98FD" w14:textId="08A6BDE7" w:rsidR="000A564E" w:rsidRDefault="000A564E" w:rsidP="000A56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оценка стоимости объекта аналога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3EF13E5" w14:textId="1E4C984F" w:rsidR="000A564E" w:rsidRPr="000A564E" w:rsidRDefault="000A564E" w:rsidP="000A56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вклад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0A564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аналога в стоимость объекта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19AA4B9" w14:textId="0BC0FE43" w:rsidR="00C340FA" w:rsidRPr="00581A3C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Затратный подход – совокупность методов оценки, основанных на определении затрат, необходимых для воспроизводства или замещения объекта оценки с учетом износа или устаревания.</w:t>
      </w:r>
      <w:r w:rsidR="000A564E">
        <w:rPr>
          <w:rFonts w:ascii="Times New Roman" w:hAnsi="Times New Roman" w:cs="Times New Roman"/>
          <w:sz w:val="28"/>
          <w:szCs w:val="28"/>
        </w:rPr>
        <w:t xml:space="preserve"> Рассмотрим подход с точки зрения </w:t>
      </w:r>
      <w:r w:rsidR="00581A3C">
        <w:rPr>
          <w:rFonts w:ascii="Times New Roman" w:hAnsi="Times New Roman" w:cs="Times New Roman"/>
          <w:sz w:val="28"/>
          <w:szCs w:val="28"/>
        </w:rPr>
        <w:t xml:space="preserve">одного из вариантов </w:t>
      </w:r>
      <w:r w:rsidR="000A564E">
        <w:rPr>
          <w:rFonts w:ascii="Times New Roman" w:hAnsi="Times New Roman" w:cs="Times New Roman"/>
          <w:sz w:val="28"/>
          <w:szCs w:val="28"/>
        </w:rPr>
        <w:t>математической модели:</w:t>
      </w:r>
    </w:p>
    <w:p w14:paraId="0A9521A7" w14:textId="7A7D98AF" w:rsidR="00581A3C" w:rsidRPr="00581A3C" w:rsidRDefault="00581A3C" w:rsidP="00581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highlight w:val="red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0F25F38A" w14:textId="347A218A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>где C – стоимость оцениваемого объекта</w:t>
      </w:r>
      <w:r w:rsidR="00581A3C">
        <w:rPr>
          <w:rFonts w:ascii="Times New Roman" w:hAnsi="Times New Roman" w:cs="Times New Roman"/>
          <w:sz w:val="28"/>
          <w:szCs w:val="28"/>
        </w:rPr>
        <w:t xml:space="preserve"> (руб.)</w:t>
      </w:r>
      <w:r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C8C43B" w14:textId="261CF669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>С</w:t>
      </w:r>
      <w:r w:rsidR="00581A3C" w:rsidRPr="00581A3C">
        <w:rPr>
          <w:rFonts w:ascii="Times New Roman" w:hAnsi="Times New Roman" w:cs="Times New Roman"/>
          <w:sz w:val="28"/>
          <w:szCs w:val="28"/>
        </w:rPr>
        <w:t xml:space="preserve"> </w:t>
      </w:r>
      <w:r w:rsidR="00581A3C">
        <w:rPr>
          <w:rFonts w:ascii="Times New Roman" w:hAnsi="Times New Roman" w:cs="Times New Roman"/>
          <w:sz w:val="28"/>
          <w:szCs w:val="28"/>
        </w:rPr>
        <w:t>кв.</w:t>
      </w:r>
      <w:r w:rsidRPr="000A564E">
        <w:rPr>
          <w:rFonts w:ascii="Times New Roman" w:hAnsi="Times New Roman" w:cs="Times New Roman"/>
          <w:sz w:val="28"/>
          <w:szCs w:val="28"/>
        </w:rPr>
        <w:t xml:space="preserve"> – </w:t>
      </w:r>
      <w:r w:rsidR="00581A3C">
        <w:rPr>
          <w:rFonts w:ascii="Times New Roman" w:hAnsi="Times New Roman" w:cs="Times New Roman"/>
          <w:sz w:val="28"/>
          <w:szCs w:val="28"/>
        </w:rPr>
        <w:t>стоимость кв. метра (руб./м2)</w:t>
      </w:r>
      <w:r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63F951" w14:textId="3BCA1355" w:rsidR="000A564E" w:rsidRDefault="000A564E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64E">
        <w:rPr>
          <w:rFonts w:ascii="Times New Roman" w:hAnsi="Times New Roman" w:cs="Times New Roman"/>
          <w:sz w:val="28"/>
          <w:szCs w:val="28"/>
        </w:rPr>
        <w:t xml:space="preserve">S – </w:t>
      </w:r>
      <w:r w:rsidR="00581A3C">
        <w:rPr>
          <w:rFonts w:ascii="Times New Roman" w:hAnsi="Times New Roman" w:cs="Times New Roman"/>
          <w:sz w:val="28"/>
          <w:szCs w:val="28"/>
        </w:rPr>
        <w:t>площадь объекта (м2);</w:t>
      </w:r>
    </w:p>
    <w:p w14:paraId="5E6D4E94" w14:textId="60A7E4DE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1 – коэфф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разницы 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между объектом и </w:t>
      </w:r>
      <w:r>
        <w:rPr>
          <w:rFonts w:ascii="Times New Roman" w:hAnsi="Times New Roman" w:cs="Times New Roman"/>
          <w:sz w:val="28"/>
          <w:szCs w:val="28"/>
        </w:rPr>
        <w:t>аналогом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B77BD6" w14:textId="1241C135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2 – коэфф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изменения стоимости строительства; </w:t>
      </w:r>
    </w:p>
    <w:p w14:paraId="67608CE1" w14:textId="61631D03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3 –</w:t>
      </w:r>
      <w:r w:rsidR="000A564E">
        <w:rPr>
          <w:rFonts w:ascii="Times New Roman" w:hAnsi="Times New Roman" w:cs="Times New Roman"/>
          <w:sz w:val="28"/>
          <w:szCs w:val="28"/>
        </w:rPr>
        <w:t xml:space="preserve"> коэф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A564E">
        <w:rPr>
          <w:rFonts w:ascii="Times New Roman" w:hAnsi="Times New Roman" w:cs="Times New Roman"/>
          <w:sz w:val="28"/>
          <w:szCs w:val="28"/>
        </w:rPr>
        <w:t xml:space="preserve">. </w:t>
      </w:r>
      <w:r w:rsidR="000A564E" w:rsidRPr="000A564E">
        <w:rPr>
          <w:rFonts w:ascii="Times New Roman" w:hAnsi="Times New Roman" w:cs="Times New Roman"/>
          <w:sz w:val="28"/>
          <w:szCs w:val="28"/>
        </w:rPr>
        <w:t>прибыл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A564E" w:rsidRPr="000A564E">
        <w:rPr>
          <w:rFonts w:ascii="Times New Roman" w:hAnsi="Times New Roman" w:cs="Times New Roman"/>
          <w:sz w:val="28"/>
          <w:szCs w:val="28"/>
        </w:rPr>
        <w:t xml:space="preserve"> застройщика; </w:t>
      </w:r>
    </w:p>
    <w:p w14:paraId="662A533B" w14:textId="2E5F9EF2" w:rsidR="000A564E" w:rsidRDefault="00581A3C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564E" w:rsidRPr="000A564E">
        <w:rPr>
          <w:rFonts w:ascii="Times New Roman" w:hAnsi="Times New Roman" w:cs="Times New Roman"/>
          <w:sz w:val="28"/>
          <w:szCs w:val="28"/>
        </w:rPr>
        <w:t>4 –</w:t>
      </w:r>
      <w:r w:rsidR="000A564E">
        <w:rPr>
          <w:rFonts w:ascii="Times New Roman" w:hAnsi="Times New Roman" w:cs="Times New Roman"/>
          <w:sz w:val="28"/>
          <w:szCs w:val="28"/>
        </w:rPr>
        <w:t xml:space="preserve"> коэф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A564E">
        <w:rPr>
          <w:rFonts w:ascii="Times New Roman" w:hAnsi="Times New Roman" w:cs="Times New Roman"/>
          <w:sz w:val="28"/>
          <w:szCs w:val="28"/>
        </w:rPr>
        <w:t xml:space="preserve">. </w:t>
      </w:r>
      <w:r w:rsidR="000A564E" w:rsidRPr="000A564E">
        <w:rPr>
          <w:rFonts w:ascii="Times New Roman" w:hAnsi="Times New Roman" w:cs="Times New Roman"/>
          <w:sz w:val="28"/>
          <w:szCs w:val="28"/>
        </w:rPr>
        <w:t>НДС.</w:t>
      </w:r>
    </w:p>
    <w:p w14:paraId="64A23710" w14:textId="6C8E76AC" w:rsidR="00C340FA" w:rsidRPr="00C340FA" w:rsidRDefault="00C340FA" w:rsidP="00C3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оценки каждым из указанных методов необходимо соблюдать систему принципов оценки, ведь на данной системе строится сама сфера оказания данной услуги. Здесь имеет влияние и принципы, согласно которым работает рыночная среда недвижимости,</w:t>
      </w:r>
      <w:r w:rsidR="000A564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принципы отношени</w:t>
      </w:r>
      <w:r w:rsidR="000A564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объекту собственник</w:t>
      </w:r>
      <w:r w:rsidR="000A564E">
        <w:rPr>
          <w:rFonts w:ascii="Times New Roman" w:hAnsi="Times New Roman" w:cs="Times New Roman"/>
          <w:sz w:val="28"/>
          <w:szCs w:val="28"/>
        </w:rPr>
        <w:t>ом.</w:t>
      </w:r>
    </w:p>
    <w:p w14:paraId="1E25528C" w14:textId="331000E3" w:rsidR="00D2292F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изучать последние – становится понятно, что важными элементами являются полезность, рынок, а также долгосрочной доходности.</w:t>
      </w:r>
    </w:p>
    <w:p w14:paraId="2135424F" w14:textId="74B4277C" w:rsidR="00092616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принципом полезности стоит считать способность объекта в удовлетворении имеющихся потребностей, которые собственник будет требовать с данного объекта. При увеличении полезности – соразмерно увеличивается и оценочная стоимость.</w:t>
      </w:r>
    </w:p>
    <w:p w14:paraId="5EE00088" w14:textId="43FD9531" w:rsidR="00092616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рынка указывает на возможность потенциального собственника выбрать объект с наименьшей стоимостью эквивалентной полезности.</w:t>
      </w:r>
    </w:p>
    <w:p w14:paraId="5652D723" w14:textId="223F16F1" w:rsidR="00092616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долгосрочной доходности подтверждает ожидания инвестора получить доходы, со вложенных в объект средств, в будущем. Следовательно сумма потенциальных доходов образовывает оценочную стоимость.</w:t>
      </w:r>
    </w:p>
    <w:p w14:paraId="1EC38C9E" w14:textId="34349AB5" w:rsidR="00092616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Изучая принципы рыночной среды, которые влияют на оценку объекта важно отметить следующие. </w:t>
      </w:r>
    </w:p>
    <w:p w14:paraId="08CE01DE" w14:textId="3852ABE9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эффективных вложений – вклад в объект эффективен в том случае, если он повышают рыночную стоимость объекта и не превышает полученный прирост в стоимости.</w:t>
      </w:r>
    </w:p>
    <w:p w14:paraId="6518677D" w14:textId="54AC1D2B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спроса и предложения – цены реагируют в соответствие с законами о спросе и предложении, то есть стабильны в случае равновесия, наличие дефицита предложения повышает цену и превышение предложения над спросом соответственно понижает цену.</w:t>
      </w:r>
    </w:p>
    <w:p w14:paraId="7F89309F" w14:textId="4617738E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конкуренции – фактор конкуренции уравнивает потенциальную доходность вложений.</w:t>
      </w:r>
    </w:p>
    <w:p w14:paraId="2C439493" w14:textId="3C1CC45F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эффективного использования – Объект используется наиболее выгодным способом, учитывая альтернативные издержки, физические возможности, законодательство, максимальную возможную продуктивность.</w:t>
      </w:r>
    </w:p>
    <w:p w14:paraId="7C6B8530" w14:textId="6BC35C8F" w:rsidR="00136086" w:rsidRDefault="0013608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086">
        <w:rPr>
          <w:rFonts w:ascii="Times New Roman" w:hAnsi="Times New Roman" w:cs="Times New Roman"/>
          <w:sz w:val="28"/>
          <w:szCs w:val="28"/>
          <w:highlight w:val="red"/>
        </w:rPr>
        <w:lastRenderedPageBreak/>
        <w:t>НАПИСАТЬ ГЛАВУ ПРО АНАЛИЗ НЫНЕШНЕГО РЫНКА</w:t>
      </w:r>
    </w:p>
    <w:p w14:paraId="25D2611C" w14:textId="041EEF0C" w:rsidR="003E39BD" w:rsidRPr="00416EB4" w:rsidRDefault="00416EB4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принципы и основы рынка недвижимости используются повсеместно уже продолжительно время, однако с развитием новых технологий, появлением машинного обучения, искусственного интеллекта и всецелым развитием рынка – важно учитывать не только базовую материальную часть, на которой строится оценка, но и как оценка развивается как наука, как сфера оказания услуг, какие методы используются для улучшения качества и точности оценки, исключая факторы человеческой ошибки, узкой выборочности данных и условной субъективности. Всецелом, важна информация о направлении, в котором движется данная наука, для использования соответствующих стандартов при проведении такого рода исследования. Поэтому важным элементом работы стоит считать исследование передовых, как зарубежных, так и отечественных, работ в данной сфере.</w:t>
      </w:r>
      <w:r w:rsidR="00136086">
        <w:rPr>
          <w:rFonts w:ascii="Times New Roman" w:hAnsi="Times New Roman" w:cs="Times New Roman"/>
          <w:sz w:val="28"/>
          <w:szCs w:val="28"/>
        </w:rPr>
        <w:t xml:space="preserve"> Особенно в рамках использования машинного обучения для построения модели оценки стоимости коммерческого объекта недвижимости.</w:t>
      </w:r>
    </w:p>
    <w:p w14:paraId="13E0576A" w14:textId="77777777" w:rsidR="003E39BD" w:rsidRDefault="003E39BD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8C273" w14:textId="77777777" w:rsidR="00092616" w:rsidRPr="00D2292F" w:rsidRDefault="00092616" w:rsidP="00D22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2616" w:rsidRPr="00D22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41B9"/>
    <w:multiLevelType w:val="hybridMultilevel"/>
    <w:tmpl w:val="81923018"/>
    <w:lvl w:ilvl="0" w:tplc="99562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A47"/>
    <w:multiLevelType w:val="hybridMultilevel"/>
    <w:tmpl w:val="B01A4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245E6D"/>
    <w:multiLevelType w:val="hybridMultilevel"/>
    <w:tmpl w:val="9E7A2A12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56F1"/>
    <w:multiLevelType w:val="hybridMultilevel"/>
    <w:tmpl w:val="31167ABA"/>
    <w:lvl w:ilvl="0" w:tplc="5602E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16311">
    <w:abstractNumId w:val="0"/>
  </w:num>
  <w:num w:numId="2" w16cid:durableId="786194894">
    <w:abstractNumId w:val="3"/>
  </w:num>
  <w:num w:numId="3" w16cid:durableId="1517190057">
    <w:abstractNumId w:val="2"/>
  </w:num>
  <w:num w:numId="4" w16cid:durableId="193003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454"/>
    <w:rsid w:val="0006060B"/>
    <w:rsid w:val="00092616"/>
    <w:rsid w:val="00093799"/>
    <w:rsid w:val="000A564E"/>
    <w:rsid w:val="00136086"/>
    <w:rsid w:val="003A1CAE"/>
    <w:rsid w:val="003E39BD"/>
    <w:rsid w:val="00416EB4"/>
    <w:rsid w:val="004A62D7"/>
    <w:rsid w:val="00581A3C"/>
    <w:rsid w:val="0063017B"/>
    <w:rsid w:val="009A0454"/>
    <w:rsid w:val="00C10FF7"/>
    <w:rsid w:val="00C340FA"/>
    <w:rsid w:val="00D2292F"/>
    <w:rsid w:val="00D735CD"/>
    <w:rsid w:val="00E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8AD"/>
  <w15:docId w15:val="{1FFEF04C-C63A-4C13-B7AB-90C66C37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2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5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7</cp:revision>
  <dcterms:created xsi:type="dcterms:W3CDTF">2024-05-26T09:39:00Z</dcterms:created>
  <dcterms:modified xsi:type="dcterms:W3CDTF">2024-05-26T13:30:00Z</dcterms:modified>
</cp:coreProperties>
</file>