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Title"/>
        <w:spacing w:line="360" w:lineRule="auto"/>
        <w:jc w:val="left"/>
      </w:pPr>
      <w:r>
        <w:rPr>
          <w:color w:val="000000"/>
          <w:sz w:val="24"/>
          <w:szCs w:val="24"/>
        </w:rPr>
        <w:t>DRK1 支持拟南芥保卫细胞中 ABA 诱导的气孔关闭</w:t>
      </w:r>
    </w:p>
    <w:p>
      <w:pPr>
        <w:spacing w:line="360" w:lineRule="auto"/>
        <w:jc w:val="both"/>
      </w:pPr>
      <w:r>
        <w:rPr>
          <w:color w:val="000000"/>
          <w:sz w:val="24"/>
          <w:szCs w:val="24"/>
        </w:rPr>
        <w:t>陈琳1，张梅1，Arun Patel2，李华1*</w:t>
      </w:r>
    </w:p>
    <w:p>
      <w:pPr>
        <w:spacing w:line="360" w:lineRule="auto"/>
        <w:jc w:val="both"/>
      </w:pPr>
      <w:r>
        <w:rPr>
          <w:color w:val="000000"/>
          <w:sz w:val="24"/>
          <w:szCs w:val="24"/>
        </w:rPr>
        <w:t>1. 示例大学植物生物学系，中国上海</w:t>
      </w:r>
    </w:p>
    <w:p>
      <w:pPr>
        <w:spacing w:line="360" w:lineRule="auto"/>
        <w:jc w:val="both"/>
      </w:pPr>
      <w:r>
        <w:rPr>
          <w:color w:val="000000"/>
          <w:sz w:val="24"/>
          <w:szCs w:val="24"/>
        </w:rPr>
        <w:t>2. 示例研究所植物逆境生物学中心，新加坡</w:t>
      </w:r>
    </w:p>
    <w:p>
      <w:pPr>
        <w:spacing w:line="360" w:lineRule="auto"/>
        <w:jc w:val="both"/>
      </w:pPr>
      <w:r>
        <w:rPr>
          <w:color w:val="000000"/>
          <w:sz w:val="24"/>
          <w:szCs w:val="24"/>
        </w:rPr>
        <w:t>*通讯作者：hua.li@example.edu</w:t>
      </w:r>
    </w:p>
    <w:p>
      <w:pPr>
        <w:pStyle w:val="Heading1"/>
        <w:spacing w:line="360" w:lineRule="auto"/>
        <w:jc w:val="left"/>
      </w:pPr>
      <w:r>
        <w:rPr>
          <w:color w:val="000000"/>
          <w:sz w:val="24"/>
          <w:szCs w:val="24"/>
        </w:rPr>
        <w:t>摘要</w:t>
      </w:r>
    </w:p>
    <w:p>
      <w:pPr>
        <w:spacing w:line="360" w:lineRule="auto"/>
        <w:jc w:val="both"/>
      </w:pPr>
      <w:r>
        <w:rPr>
          <w:color w:val="000000"/>
          <w:sz w:val="24"/>
          <w:szCs w:val="24"/>
        </w:rPr>
        <w:t>脱落酸（abscisic acid, ABA）在水分胁迫中促进气孔关闭，但调节保卫细胞响应幅度的蛋白激酶仍未完全明确。本研究鉴定了候选拟南芥激酶 DRK1，并评估其在 ABA 诱导气孔关闭中的作用。DRK1 缺失不影响基础气孔开度，但显著削弱 ABA 诱导的气孔关闭。10 uM ABA 处理 2 h 后，野生型气孔开度由 4.82 +/- 0.13 um 降至 2.08 +/- 0.09 um，而 drk1-1 突变体仍保持较大的气孔开度，为 3.61 +/- 0.12 um。由 DRK1 自身启动子驱动的互补株恢复了大部分 ABA 响应，支持该表型与 DRK1 缺失相关。DRK1 缺失还降低 ABA 诱导的保卫细胞 ROS 积累，并减弱部分 ABA 响应标记基因的诱导表达。上述结果表明，在本研究条件下，DRK1 是完整保卫细胞 ABA 响应所需的正向贡献因子。由于目前尚缺少直接底物、遗传互作和生化证据，本文将 DRK1 解释为 ABA 响应的正向贡献因子，而不将其定位为 ROS 产生的明确上游调控因子。</w:t>
      </w:r>
    </w:p>
    <w:p>
      <w:pPr>
        <w:pStyle w:val="Heading1"/>
        <w:spacing w:line="360" w:lineRule="auto"/>
        <w:jc w:val="left"/>
      </w:pPr>
      <w:r>
        <w:rPr>
          <w:color w:val="000000"/>
          <w:sz w:val="24"/>
          <w:szCs w:val="24"/>
        </w:rPr>
        <w:t>重要性说明</w:t>
      </w:r>
    </w:p>
    <w:p>
      <w:pPr>
        <w:spacing w:line="360" w:lineRule="auto"/>
        <w:jc w:val="both"/>
      </w:pPr>
      <w:r>
        <w:rPr>
          <w:color w:val="000000"/>
          <w:sz w:val="24"/>
          <w:szCs w:val="24"/>
        </w:rPr>
        <w:t>ABA 诱导的气孔关闭是植物水分胁迫适应的重要环节。本研究将 DRK1 鉴定为完整保卫细胞 ABA 响应的正向贡献因子，并通过突变体表型、遗传互补、ROS 成像和 ABA 响应标记基因表达建立证据链，形成对激酶相关气孔调控的边界明确模型。</w:t>
      </w:r>
    </w:p>
    <w:p>
      <w:pPr>
        <w:pStyle w:val="Heading1"/>
        <w:spacing w:line="360" w:lineRule="auto"/>
        <w:jc w:val="left"/>
      </w:pPr>
      <w:r>
        <w:rPr>
          <w:color w:val="000000"/>
          <w:sz w:val="24"/>
          <w:szCs w:val="24"/>
        </w:rPr>
        <w:t>关键词</w:t>
      </w:r>
    </w:p>
    <w:p>
      <w:pPr>
        <w:spacing w:line="360" w:lineRule="auto"/>
        <w:jc w:val="both"/>
      </w:pPr>
      <w:r>
        <w:rPr>
          <w:color w:val="000000"/>
          <w:sz w:val="24"/>
          <w:szCs w:val="24"/>
        </w:rPr>
        <w:t>脱落酸；拟南芥；保卫细胞；蛋白激酶；活性氧；气孔关闭</w:t>
      </w:r>
    </w:p>
    <w:p>
      <w:pPr>
        <w:pStyle w:val="Heading1"/>
        <w:spacing w:line="360" w:lineRule="auto"/>
        <w:jc w:val="left"/>
      </w:pPr>
      <w:r>
        <w:rPr>
          <w:color w:val="000000"/>
          <w:sz w:val="24"/>
          <w:szCs w:val="24"/>
        </w:rPr>
        <w:t>引言</w:t>
      </w:r>
    </w:p>
    <w:p>
      <w:pPr>
        <w:spacing w:line="360" w:lineRule="auto"/>
        <w:jc w:val="both"/>
      </w:pPr>
      <w:r>
        <w:rPr>
          <w:color w:val="000000"/>
          <w:sz w:val="24"/>
          <w:szCs w:val="24"/>
        </w:rPr>
        <w:t>气孔协调植物与大气之间的二氧化碳吸收和水分散失，因此保卫细胞调控是植物适应波动水分环境的关键环节。ABA 长期以来被认为是干旱相关信号的核心组分，可促进气孔关闭并限制蒸腾失水 [1,2]。遗传学、电生理和生化研究表明，保卫细胞 ABA 响应整合了离子流、钙信号、ROS 产生、蛋白磷酸化和转录调控等多个过程 [1-4]。这些研究奠定了一个成熟框架，使气孔关闭成为连接激素感知与细胞类型特异性生理输出的经典系统。</w:t>
      </w:r>
    </w:p>
    <w:p>
      <w:pPr>
        <w:spacing w:line="360" w:lineRule="auto"/>
        <w:jc w:val="both"/>
      </w:pPr>
      <w:r>
        <w:rPr>
          <w:color w:val="000000"/>
          <w:sz w:val="24"/>
          <w:szCs w:val="24"/>
        </w:rPr>
        <w:t>ABA 核心信号模块由 PYR/PYL/RCAR 受体、PP2C 磷酸酶和 SnRK2 蛋白激酶构成 [2,5,6]。在保卫细胞中，OST1/SnRK2.6 对 ABA 调控的气孔运动至关重要，并位于多个下游输出之前 [7]。由 NADPH 氧化酶 AtrbohD 和 AtrbohF 产生的 ROS 参与 ABA 依赖的钙通道激活和气孔关闭 [3,4]。SLAC1 等阴离子通道进一步连接蛋白激酶信号与关闭过程中的离子外流 [8,9]。因此，现有文献已经建立了一个由磷酸化、ROS、钙信号和离子通道共同驱动气孔关闭的核心模型。</w:t>
      </w:r>
    </w:p>
    <w:p>
      <w:pPr>
        <w:spacing w:line="360" w:lineRule="auto"/>
        <w:jc w:val="both"/>
      </w:pPr>
      <w:r>
        <w:rPr>
          <w:color w:val="000000"/>
          <w:sz w:val="24"/>
          <w:szCs w:val="24"/>
        </w:rPr>
        <w:t>尽管如此，该通路仍存在多个尚未解决的调控层面。首先，许多候选激酶可能调节 ABA 响应的强度、时间过程或环境依赖性，但并不一定是核心通路组分。其次，突变体表型常被过快解释为直接机制，即使现有证据只能证明其参与某一响应。第三，保卫细胞表型通常需要多个证据层面共同支撑，包括遗传特异性、生理输出、细胞信号读数和分子响应背景。因此，在解释新鉴定的 ABA 响应调节因子时，区分“参与响应”和“直接通路定位”非常关键。</w:t>
      </w:r>
    </w:p>
    <w:p>
      <w:pPr>
        <w:spacing w:line="360" w:lineRule="auto"/>
        <w:jc w:val="both"/>
      </w:pPr>
      <w:r>
        <w:rPr>
          <w:color w:val="000000"/>
          <w:sz w:val="24"/>
          <w:szCs w:val="24"/>
        </w:rPr>
        <w:t>DRK1 因初步保卫细胞表达分析和突变体筛选提示其可能影响 ABA 响应而被选为候选调节因子。然而，DRK1 是否参与 ABA 诱导的气孔关闭、该表型是否与 DRK1 缺失存在遗传关联，以及 DRK1 是否影响已知 ABA 相关输出，仍不清楚。为回答这些问题，我们结合气孔开度测定、自身启动子驱动的遗传互补、保卫细胞 ROS 成像以及 ABA 响应标记基因表达分析，系统评估 DRK1 在保卫细胞 ABA 响应中的作用。结果显示，DRK1 缺失削弱 ABA 诱导的气孔关闭，DRK1 互补恢复大部分响应，并且 DRK1 影响 ABA 诱导的 ROS 积累及部分 ABA 响应转录输出。基于这些结果，我们提出 DRK1 是完整保卫细胞 ABA 响应的正向贡献因子，但其精确分子位置仍需进一步实验证明。</w:t>
      </w:r>
    </w:p>
    <w:p>
      <w:pPr>
        <w:pStyle w:val="Heading1"/>
        <w:spacing w:line="360" w:lineRule="auto"/>
        <w:jc w:val="left"/>
      </w:pPr>
      <w:r>
        <w:rPr>
          <w:color w:val="000000"/>
          <w:sz w:val="24"/>
          <w:szCs w:val="24"/>
        </w:rPr>
        <w:t>结果</w:t>
      </w:r>
    </w:p>
    <w:p>
      <w:pPr>
        <w:pStyle w:val="Heading2"/>
        <w:spacing w:line="360" w:lineRule="auto"/>
        <w:jc w:val="left"/>
      </w:pPr>
      <w:r>
        <w:rPr>
          <w:color w:val="000000"/>
          <w:sz w:val="24"/>
          <w:szCs w:val="24"/>
        </w:rPr>
        <w:t>DRK1 缺失削弱 ABA 诱导的气孔关闭</w:t>
      </w:r>
    </w:p>
    <w:p>
      <w:pPr>
        <w:spacing w:line="360" w:lineRule="auto"/>
        <w:jc w:val="both"/>
      </w:pPr>
      <w:r>
        <w:rPr>
          <w:color w:val="000000"/>
          <w:sz w:val="24"/>
          <w:szCs w:val="24"/>
        </w:rPr>
        <w:t>我们首先比较野生型 Col-0 和 drk1-1 在 mock 或 ABA 处理后的气孔开度，以检验 DRK1 是否参与 ABA 诱导的气孔关闭。在 mock 条件下，野生型和 drk1-1 的气孔开度相近，平均值分别为 4.82 +/- 0.13 um 和 4.91 +/- 0.14 um（图 1A、1B）。这种基础开度的一致性很重要，因为它使 ABA 响应能够独立于组成型气孔差异进行解释。10 uM ABA 处理 2 h 后，野生型气孔开度降至 2.08 +/- 0.09 um，而 drk1-1 气孔仍显著更大，为 3.61 +/- 0.12 um（图 1B）。双因素方差分析显示基因型和处理之间存在显著互作（P &lt; 0.0001），支持 drk1-1 存在特异性的 ABA 诱导关闭缺陷。</w:t>
      </w:r>
    </w:p>
    <w:p>
      <w:pPr>
        <w:spacing w:line="360" w:lineRule="auto"/>
        <w:jc w:val="both"/>
      </w:pPr>
      <w:r>
        <w:rPr>
          <w:color w:val="000000"/>
          <w:sz w:val="24"/>
          <w:szCs w:val="24"/>
        </w:rPr>
        <w:t>为评估该表型的稳健性，我们同时分析了分布层面和重复层面的数据。mock 处理的野生型和 drk1-1 气孔开度分布大体重叠，而 ABA 处理后的 drk1-1 相对于野生型明显右移（图 1C）。在三次独立生物学重复中，每个基因型和处理条件测量 60 个气孔，drk1-1 的 ABA 诱导关闭指数较野生型降低 58%（图 1D）。这些对照、重复设计和分布数据共同支持 DRK1 是完整 ABA 诱导气孔关闭响应所需的。由于单一功能缺失表型不能证明直接通路位置，我们进一步测试该表型是否能够被遗传互补。</w:t>
      </w:r>
    </w:p>
    <w:p>
      <w:pPr>
        <w:pStyle w:val="Heading2"/>
        <w:spacing w:line="360" w:lineRule="auto"/>
        <w:jc w:val="left"/>
      </w:pPr>
      <w:r>
        <w:rPr>
          <w:color w:val="000000"/>
          <w:sz w:val="24"/>
          <w:szCs w:val="24"/>
        </w:rPr>
        <w:t>DRK1 自身启动子驱动的互补株部分恢复 ABA 响应</w:t>
      </w:r>
    </w:p>
    <w:p>
      <w:pPr>
        <w:spacing w:line="360" w:lineRule="auto"/>
        <w:jc w:val="both"/>
      </w:pPr>
      <w:r>
        <w:rPr>
          <w:color w:val="000000"/>
          <w:sz w:val="24"/>
          <w:szCs w:val="24"/>
        </w:rPr>
        <w:t>为检验气孔关闭缺陷是否与 DRK1 缺失相关，我们在 drk1-1 背景中构建了由 DRK1 自身启动子驱动的互补株。定量 RT-PCR 显示，互补株中 DRK1 转录本丰度达到野生型水平的 0.87 +/- 0.08 倍（图 2A），说明该转基因恢复了 DRK1 表达且未造成强烈过表达。在 mock 条件下，互补株气孔开度与野生型和 drk1-1 相近，符合 DRK1 在该实验中主要作用于 ABA 处理条件下的解释。</w:t>
      </w:r>
    </w:p>
    <w:p>
      <w:pPr>
        <w:spacing w:line="360" w:lineRule="auto"/>
        <w:jc w:val="both"/>
      </w:pPr>
      <w:r>
        <w:rPr>
          <w:color w:val="000000"/>
          <w:sz w:val="24"/>
          <w:szCs w:val="24"/>
        </w:rPr>
        <w:t>ABA 处理后，互补株气孔开度降至 2.46 +/- 0.10 um，显著小于 drk1-1，但仍略大于野生型（图 2B）。该部分恢复在三次独立实验中重复出现，并恢复约 75% 的 ABA 诱导关闭缺陷。这一结果增强了 drk1-1 表型的遗传特异性，但也限定了结论边界：DRK1 互补支持其对 ABA 响应具有贡献，而不能证明 DRK1 单独足以恢复所有通路输出。在建立表型特异性之后，我们进一步检测 DRK1 缺失是否影响保卫细胞 ABA 信号中的已知细胞特征。</w:t>
      </w:r>
    </w:p>
    <w:p>
      <w:pPr>
        <w:pStyle w:val="Heading2"/>
        <w:spacing w:line="360" w:lineRule="auto"/>
        <w:jc w:val="left"/>
      </w:pPr>
      <w:r>
        <w:rPr>
          <w:color w:val="000000"/>
          <w:sz w:val="24"/>
          <w:szCs w:val="24"/>
        </w:rPr>
        <w:t>DRK1 缺失降低保卫细胞中 ABA 诱导的 ROS 积累</w:t>
      </w:r>
    </w:p>
    <w:p>
      <w:pPr>
        <w:spacing w:line="360" w:lineRule="auto"/>
        <w:jc w:val="both"/>
      </w:pPr>
      <w:r>
        <w:rPr>
          <w:color w:val="000000"/>
          <w:sz w:val="24"/>
          <w:szCs w:val="24"/>
        </w:rPr>
        <w:t>ABA 诱导的 ROS 积累是保卫细胞 ABA 信号的保守特征，并与钙通道激活和气孔关闭相关 [3,4]。因此，我们使用 H2DCF-DA 荧光检测 mock 或 ABA 处理后表皮撕片中的 ROS 产生。在野生型保卫细胞中，ABA 使归一化 ROS 荧光相对于 mock 增加 2.68 +/- 0.18 倍（图 3A、3B）。在 drk1-1 中，ABA 仅使荧光增加 1.42 +/- 0.11 倍，显示 ROS 响应明显减弱。互补株表现出明显恢复的响应，为 2.21 +/- 0.15 倍（图 3B）。</w:t>
      </w:r>
    </w:p>
    <w:p>
      <w:pPr>
        <w:spacing w:line="360" w:lineRule="auto"/>
        <w:jc w:val="both"/>
      </w:pPr>
      <w:r>
        <w:rPr>
          <w:color w:val="000000"/>
          <w:sz w:val="24"/>
          <w:szCs w:val="24"/>
        </w:rPr>
        <w:t>多个控制增强了该实验的可靠性。所有基因型均在相同采集参数下成像，荧光值在每个生物学重复内归一化，mock 处理样本未显示基因型依赖的基础荧光升高。气孔关闭缺陷与 ABA 诱导 ROS 积累降低的一致性提示 DRK1 影响 ABA 相关细胞输出。然而，这些数据不能确定 DRK1 位于 ROS 产生上游、下游，还是位于同时影响 ROS 读数和关闭能力的平行分支。因此，我们将 ROS 表型作为通路相关证据，并进一步检测 DRK1 缺失是否影响 ABA 响应转录输出。</w:t>
      </w:r>
    </w:p>
    <w:p>
      <w:pPr>
        <w:pStyle w:val="Heading2"/>
        <w:spacing w:line="360" w:lineRule="auto"/>
        <w:jc w:val="left"/>
      </w:pPr>
      <w:r>
        <w:rPr>
          <w:color w:val="000000"/>
          <w:sz w:val="24"/>
          <w:szCs w:val="24"/>
        </w:rPr>
        <w:t>DRK1 影响部分 ABA 响应标记基因的表达</w:t>
      </w:r>
    </w:p>
    <w:p>
      <w:pPr>
        <w:spacing w:line="360" w:lineRule="auto"/>
        <w:jc w:val="both"/>
      </w:pPr>
      <w:r>
        <w:rPr>
          <w:color w:val="000000"/>
          <w:sz w:val="24"/>
          <w:szCs w:val="24"/>
        </w:rPr>
        <w:t>为评估 DRK1 缺失是否影响气孔开度和 ROS 之外的 ABA 响应分子输出，我们检测了 ABA 处理 3 h 后 RD29B、RAB18 和 ABI5 的表达。在野生型幼苗中，RD29B、RAB18 和 ABI5 分别升高 6.4 +/- 0.7 倍、5.8 +/- 0.6 倍和 3.1 +/- 0.4 倍（图 4A）。在 drk1-1 中，上述基因的诱导幅度分别降低至 3.2 +/- 0.4 倍、2.7 +/- 0.3 倍和 1.8 +/- 0.2 倍。互补株可部分恢复三个标记基因的诱导表达（图 4A）。</w:t>
      </w:r>
    </w:p>
    <w:p>
      <w:pPr>
        <w:spacing w:line="360" w:lineRule="auto"/>
        <w:jc w:val="both"/>
      </w:pPr>
      <w:r>
        <w:rPr>
          <w:color w:val="000000"/>
          <w:sz w:val="24"/>
          <w:szCs w:val="24"/>
        </w:rPr>
        <w:t>这些标记基因数据将 DRK1 表型扩展到更广泛的 ABA 响应输出，但仍需谨慎解释。由于该实验使用全幼苗而非分离保卫细胞，其结果不能证明保卫细胞特异性的转录调控。然而，它表明 drk1-1 缺陷并不限于单一气孔开度测量，而是伴随 ABA 相关分子响应减弱。结合气孔和 ROS 结果，这些数据支持 DRK1 参与完整 ABA 响应幅度的模型。</w:t>
      </w:r>
    </w:p>
    <w:p>
      <w:pPr>
        <w:pStyle w:val="Heading2"/>
        <w:spacing w:line="360" w:lineRule="auto"/>
        <w:jc w:val="left"/>
      </w:pPr>
      <w:r>
        <w:rPr>
          <w:color w:val="000000"/>
          <w:sz w:val="24"/>
          <w:szCs w:val="24"/>
        </w:rPr>
        <w:t>DRK1 参与边界明确的 ABA 响应模型</w:t>
      </w:r>
    </w:p>
    <w:p>
      <w:pPr>
        <w:spacing w:line="360" w:lineRule="auto"/>
        <w:jc w:val="both"/>
      </w:pPr>
      <w:r>
        <w:rPr>
          <w:color w:val="000000"/>
          <w:sz w:val="24"/>
          <w:szCs w:val="24"/>
        </w:rPr>
        <w:t>综合证据支持一个工作模型：DRK1 是 ABA 诱导气孔关闭的正向贡献因子（图 5）。遗传表型证明其对生理响应的需要，互补结果支持表型特异性，ROS 成像将 DRK1 与已知保卫细胞 ABA 相关输出相连，标记基因分析提供额外的分子背景。该模型保持边界：在获得通路排序、底物或生化证据之前，不将 DRK1 指定为 ROS 或离子通道激活上游的特定步骤。</w:t>
      </w:r>
    </w:p>
    <w:p>
      <w:pPr>
        <w:spacing w:line="360" w:lineRule="auto"/>
        <w:jc w:val="both"/>
      </w:pPr>
      <w:r>
        <w:rPr>
          <w:color w:val="000000"/>
          <w:sz w:val="24"/>
          <w:szCs w:val="24"/>
        </w:rPr>
        <w:t>因此，该模型图的作用是综合现有证据，而不是提供新的证据。它记录了从 DRK1 缺失到 ABA 响应减弱的支持链条，并用虚线箭头标示尚未解析的通路位置。将最后一个结果小节限定为证据总结和边界说明，可以避免论文将连贯的表型故事扩展为缺乏支持的机制性结论。</w:t>
      </w:r>
    </w:p>
    <w:p>
      <w:pPr>
        <w:pStyle w:val="Heading1"/>
        <w:spacing w:line="360" w:lineRule="auto"/>
        <w:jc w:val="left"/>
      </w:pPr>
      <w:r>
        <w:rPr>
          <w:color w:val="000000"/>
          <w:sz w:val="24"/>
          <w:szCs w:val="24"/>
        </w:rPr>
        <w:t>讨论</w:t>
      </w:r>
    </w:p>
    <w:p>
      <w:pPr>
        <w:spacing w:line="360" w:lineRule="auto"/>
        <w:jc w:val="both"/>
      </w:pPr>
      <w:r>
        <w:rPr>
          <w:color w:val="000000"/>
          <w:sz w:val="24"/>
          <w:szCs w:val="24"/>
        </w:rPr>
        <w:t>本研究将 DRK1 鉴定为拟南芥保卫细胞 ABA 诱导气孔关闭的正向贡献因子。核心结果是 drk1-1 突变体在 ABA 处理下表现出明显的气孔关闭缺陷，但基础气孔开度正常。DRK1 遗传互补恢复大部分响应，支持该表型与 DRK1 缺失相关。ROS 成像和标记基因表达进一步将 DRK1 与 ABA 相关细胞及分子输出相连接，形成了边界明确但连贯的证据链。</w:t>
      </w:r>
    </w:p>
    <w:p>
      <w:pPr>
        <w:spacing w:line="360" w:lineRule="auto"/>
        <w:jc w:val="both"/>
      </w:pPr>
      <w:r>
        <w:rPr>
          <w:color w:val="000000"/>
          <w:sz w:val="24"/>
          <w:szCs w:val="24"/>
        </w:rPr>
        <w:t>DRK1 表型可被放入更广泛的 ABA 信号框架中理解。在该框架中，受体-PP2C-SnRK2 模块、ROS 产生、钙信号和阴离子通道激活共同协调保卫细胞关闭 [1-9]。DRK1 可能调节 ABA 信号的幅度或效率，而不是作为不可替代的核心通路组分。DRK1 可能位于 ROS 产生上游，也可能位于 ROS 下游，或处于同时影响 ROS 积累和气孔关闭能力的平行分支。现有数据支持 DRK1 与 ABA 相关 ROS 输出之间存在功能联系，但与 atrbohD/F 或 slac1 突变体的遗传互作、激酶失活互补、磷酸蛋白组分析以及体外底物实验，仍是精确定位 DRK1 的必要证据。</w:t>
      </w:r>
    </w:p>
    <w:p>
      <w:pPr>
        <w:spacing w:line="360" w:lineRule="auto"/>
        <w:jc w:val="both"/>
      </w:pPr>
      <w:r>
        <w:rPr>
          <w:color w:val="000000"/>
          <w:sz w:val="24"/>
          <w:szCs w:val="24"/>
        </w:rPr>
        <w:t>本研究也说明了新调节因子研究中分层证据的重要性。气孔开度实验提供主要生理表型，互补实验支持遗传特异性，ROS 成像提供通路相关细胞读数，标记基因表达提供分子背景。仍需注意若干局限：互补株恢复了大部分但并非全部 ABA 响应，qRT-PCR 实验使用全幼苗，ROS 实验证明的是关联而不是通路顺序。这些局限并不削弱 DRK1 参与完整 ABA 响应这一核心结论，而是明确了后续实验优先级。</w:t>
      </w:r>
    </w:p>
    <w:p>
      <w:pPr>
        <w:spacing w:line="360" w:lineRule="auto"/>
        <w:jc w:val="both"/>
      </w:pPr>
      <w:r>
        <w:rPr>
          <w:color w:val="000000"/>
          <w:sz w:val="24"/>
          <w:szCs w:val="24"/>
        </w:rPr>
        <w:t>综上，DRK1 支持 ABA 诱导的气孔关闭，并与 ABA 诱导的 ROS 和转录响应相关。现有数据将 DRK1 确立为保卫细胞 ABA 响应的正向贡献因子，并为后续测试 DRK1 是否直接连接 ROS 产生、离子通道调控或 ABA 信号网络其他分支奠定基础。若目标是更高水平期刊，下一步最重要的工作将是从“贡献”推进到“机制”，即鉴定 DRK1 的直接底物或遗传互作关系。</w:t>
      </w:r>
    </w:p>
    <w:p>
      <w:pPr>
        <w:pStyle w:val="Heading1"/>
        <w:spacing w:line="360" w:lineRule="auto"/>
        <w:jc w:val="left"/>
      </w:pPr>
      <w:r>
        <w:rPr>
          <w:color w:val="000000"/>
          <w:sz w:val="24"/>
          <w:szCs w:val="24"/>
        </w:rPr>
        <w:t>材料与方法</w:t>
      </w:r>
    </w:p>
    <w:p>
      <w:pPr>
        <w:pStyle w:val="Heading2"/>
        <w:spacing w:line="360" w:lineRule="auto"/>
        <w:jc w:val="left"/>
      </w:pPr>
      <w:r>
        <w:rPr>
          <w:color w:val="000000"/>
          <w:sz w:val="24"/>
          <w:szCs w:val="24"/>
        </w:rPr>
        <w:t>植物材料与生长条件</w:t>
      </w:r>
    </w:p>
    <w:p>
      <w:pPr>
        <w:spacing w:line="360" w:lineRule="auto"/>
        <w:jc w:val="both"/>
      </w:pPr>
      <w:r>
        <w:rPr>
          <w:color w:val="000000"/>
          <w:sz w:val="24"/>
          <w:szCs w:val="24"/>
        </w:rPr>
        <w:t>以拟南芥 Arabidopsis thaliana Col-0 作为野生型背景。drk1-1 被作为功能缺失突变体使用，并在表型分析前通过 PCR 进行基因分型确认。种子先用 70% 乙醇处理 1 min，再用 10% 漂白液处理 8 min，随后用无菌水清洗 5 次，在 4 C 层积 3 d，并播种于 1/2 MS 培养基。7 日龄幼苗转移至土壤，在 22 C、16 h 光照/8 h 黑暗、光强 120 umol m-2 s-1、相对湿度 60% 条件下生长。气孔实验使用发育阶段一致的 4 周龄莲座叶。出现明显病害、严重发育迟缓或取样前抽薹的植株，在处理分组前排除。</w:t>
      </w:r>
    </w:p>
    <w:p>
      <w:pPr>
        <w:pStyle w:val="Heading2"/>
        <w:spacing w:line="360" w:lineRule="auto"/>
        <w:jc w:val="left"/>
      </w:pPr>
      <w:r>
        <w:rPr>
          <w:color w:val="000000"/>
          <w:sz w:val="24"/>
          <w:szCs w:val="24"/>
        </w:rPr>
        <w:t>互补株构建</w:t>
      </w:r>
    </w:p>
    <w:p>
      <w:pPr>
        <w:spacing w:line="360" w:lineRule="auto"/>
        <w:jc w:val="both"/>
      </w:pPr>
      <w:r>
        <w:rPr>
          <w:color w:val="000000"/>
          <w:sz w:val="24"/>
          <w:szCs w:val="24"/>
        </w:rPr>
        <w:t>将包含 2.1 kb 上游启动子、完整编码区和 0.6 kb 下游序列的 DRK1 基因组片段通过 Gibson assembly 克隆至双元载体。构建体导入 Agrobacterium tumefaciens GV3101，并通过花序浸染法转化 drk1-1。T1 植株经潮霉素筛选，随后通过分离比分析和 PCR 基因分型获得纯合 T3 代株系。共筛选 3 个独立 T3 株系的 DRK1 转录本丰度；本文展示的代表性株系因其 DRK1 表达水平最接近野生型而被选用。</w:t>
      </w:r>
    </w:p>
    <w:p>
      <w:pPr>
        <w:pStyle w:val="Heading2"/>
        <w:spacing w:line="360" w:lineRule="auto"/>
        <w:jc w:val="left"/>
      </w:pPr>
      <w:r>
        <w:rPr>
          <w:color w:val="000000"/>
          <w:sz w:val="24"/>
          <w:szCs w:val="24"/>
        </w:rPr>
        <w:t>气孔开度测定</w:t>
      </w:r>
    </w:p>
    <w:p>
      <w:pPr>
        <w:spacing w:line="360" w:lineRule="auto"/>
        <w:jc w:val="both"/>
      </w:pPr>
      <w:r>
        <w:rPr>
          <w:color w:val="000000"/>
          <w:sz w:val="24"/>
          <w:szCs w:val="24"/>
        </w:rPr>
        <w:t>为降低昼夜节律影响，完全展开的莲座叶在开灯后 3 h 采集。叶片背面朝下漂浮于开放缓冲液中，在光照下预处理 2 h；缓冲液含 10 mM MES-KOH pH 6.15、50 mM KCl 和 10 uM CaCl2。随后样本转入含溶剂对照或 10 uM ABA 的新鲜开放缓冲液中处理 2 h。ABA 由 10 mM 乙醇储液稀释获得，mock 处理含相同终浓度乙醇。立即制备表皮撕片，并使用经过校准的 40x 物镜进行明场成像。由不知道基因型和处理信息的观察者使用 ImageJ 测量气孔孔径宽度。位于表皮撕裂边缘、失焦区域或保卫细胞明显受损的气孔在测量前排除。每个生物学重复在每个基因型和处理条件下测量 60 个气孔，共分析 3 个独立生物学重复。</w:t>
      </w:r>
    </w:p>
    <w:p>
      <w:pPr>
        <w:pStyle w:val="Heading2"/>
        <w:spacing w:line="360" w:lineRule="auto"/>
        <w:jc w:val="left"/>
      </w:pPr>
      <w:r>
        <w:rPr>
          <w:color w:val="000000"/>
          <w:sz w:val="24"/>
          <w:szCs w:val="24"/>
        </w:rPr>
        <w:t>ROS 成像</w:t>
      </w:r>
    </w:p>
    <w:p>
      <w:pPr>
        <w:spacing w:line="360" w:lineRule="auto"/>
        <w:jc w:val="both"/>
      </w:pPr>
      <w:r>
        <w:rPr>
          <w:color w:val="000000"/>
          <w:sz w:val="24"/>
          <w:szCs w:val="24"/>
        </w:rPr>
        <w:t>表皮撕片在黑暗中与 10 uM H2DCF-DA 孵育 20 min，清洗 3 次后用 mock 溶液或 10 uM ABA 处理 20 min。H2DCF-DA 由 DMSO 储液现配，mock 样本含相同终浓度 DMSO。每次实验中所有样本使用相同滤光片组、曝光时间、增益和照明强度采集荧光图像。含有饱和保卫细胞像素或明显组织损伤的图像在基因型解盲前排除。使用 ImageJ 手动分割保卫细胞区域，扣除每张图像的背景荧光，并在每个生物学重复内将平均荧光归一化至 mock 处理野生型平均值。共分析 3 个独立生物学重复。</w:t>
      </w:r>
    </w:p>
    <w:p>
      <w:pPr>
        <w:pStyle w:val="Heading2"/>
        <w:spacing w:line="360" w:lineRule="auto"/>
        <w:jc w:val="left"/>
      </w:pPr>
      <w:r>
        <w:rPr>
          <w:color w:val="000000"/>
          <w:sz w:val="24"/>
          <w:szCs w:val="24"/>
        </w:rPr>
        <w:t>定量 RT-PCR</w:t>
      </w:r>
    </w:p>
    <w:p>
      <w:pPr>
        <w:spacing w:line="360" w:lineRule="auto"/>
        <w:jc w:val="both"/>
      </w:pPr>
      <w:r>
        <w:rPr>
          <w:color w:val="000000"/>
          <w:sz w:val="24"/>
          <w:szCs w:val="24"/>
        </w:rPr>
        <w:t>10 日龄幼苗经 mock 溶液或 10 uM ABA 处理 3 h 后提取总 RNA，并进行 DNase I 处理。通过分光光度法检测 RNA 浓度和纯度，A260/A280 不在 1.9-2.1 范围内的样本不用于后续分析。使用 1 ug RNA 和 oligo(dT) 引物合成第一链 cDNA。采用 SYBR Green 体系，以 RD29B、RAB18、ABI5、DRK1 和 ACTIN2 特异引物进行 qPCR。每对引物均设置无模板对照和无反转录对照。ACTIN2 作为内参，引物扩增效率要求在 90%-110% 之间。相对表达量通过 2^-Delta Delta Ct 方法计算，包含 3 个生物学重复，每个生物学重复包含 3 个技术重复。</w:t>
      </w:r>
    </w:p>
    <w:p>
      <w:pPr>
        <w:pStyle w:val="Heading2"/>
        <w:spacing w:line="360" w:lineRule="auto"/>
        <w:jc w:val="left"/>
      </w:pPr>
      <w:r>
        <w:rPr>
          <w:color w:val="000000"/>
          <w:sz w:val="24"/>
          <w:szCs w:val="24"/>
        </w:rPr>
        <w:t>统计分析</w:t>
      </w:r>
    </w:p>
    <w:p>
      <w:pPr>
        <w:spacing w:line="360" w:lineRule="auto"/>
        <w:jc w:val="both"/>
      </w:pPr>
      <w:r>
        <w:rPr>
          <w:color w:val="000000"/>
          <w:sz w:val="24"/>
          <w:szCs w:val="24"/>
        </w:rPr>
        <w:t>除特别说明外，统计分析基于生物学重复均值。气孔开度数据采用双因素方差分析，以基因型和处理作为固定因素，并进行 Tukey 多重比较。ROS 和 qRT-PCR 数据在 ABA 处理组基因型之间采用单因素方差分析，并进行 Tukey 检验。通过残差图检查重复均值的正态性，统计检查后未移除任何数据点。误差线表示 SEM。P &lt; 0.05 视为显著差异。统计分析使用 R 4.3.2 完成，图件由同一分析表生成。</w:t>
      </w:r>
    </w:p>
    <w:p>
      <w:pPr>
        <w:pStyle w:val="Heading1"/>
        <w:spacing w:line="360" w:lineRule="auto"/>
        <w:jc w:val="left"/>
      </w:pPr>
      <w:r>
        <w:rPr>
          <w:color w:val="000000"/>
          <w:sz w:val="24"/>
          <w:szCs w:val="24"/>
        </w:rPr>
        <w:t>数据可用性</w:t>
      </w:r>
    </w:p>
    <w:p>
      <w:pPr>
        <w:spacing w:line="360" w:lineRule="auto"/>
        <w:jc w:val="both"/>
      </w:pPr>
      <w:r>
        <w:rPr>
          <w:color w:val="000000"/>
          <w:sz w:val="24"/>
          <w:szCs w:val="24"/>
        </w:rPr>
        <w:t>本文为合成示例论文。所有数值数据均包含在正文、图注和补充表 1 中。本示例不对应真实显微图像原始文件、测序数据或数据库登录号。</w:t>
      </w:r>
    </w:p>
    <w:p>
      <w:pPr>
        <w:pStyle w:val="Heading1"/>
        <w:spacing w:line="360" w:lineRule="auto"/>
        <w:jc w:val="left"/>
      </w:pPr>
      <w:r>
        <w:rPr>
          <w:color w:val="000000"/>
          <w:sz w:val="24"/>
          <w:szCs w:val="24"/>
        </w:rPr>
        <w:t>经费资助</w:t>
      </w:r>
    </w:p>
    <w:p>
      <w:pPr>
        <w:spacing w:line="360" w:lineRule="auto"/>
        <w:jc w:val="both"/>
      </w:pPr>
      <w:r>
        <w:rPr>
          <w:color w:val="000000"/>
          <w:sz w:val="24"/>
          <w:szCs w:val="24"/>
        </w:rPr>
        <w:t>本合成示例未获得真实经费资助。</w:t>
      </w:r>
    </w:p>
    <w:p>
      <w:pPr>
        <w:pStyle w:val="Heading1"/>
        <w:spacing w:line="360" w:lineRule="auto"/>
        <w:jc w:val="left"/>
      </w:pPr>
      <w:r>
        <w:rPr>
          <w:color w:val="000000"/>
          <w:sz w:val="24"/>
          <w:szCs w:val="24"/>
        </w:rPr>
        <w:t>作者贡献</w:t>
      </w:r>
    </w:p>
    <w:p>
      <w:pPr>
        <w:spacing w:line="360" w:lineRule="auto"/>
        <w:jc w:val="both"/>
      </w:pPr>
      <w:r>
        <w:rPr>
          <w:color w:val="000000"/>
          <w:sz w:val="24"/>
          <w:szCs w:val="24"/>
        </w:rPr>
        <w:t>陈琳和李华设计研究。陈琳完成气孔开度实验。张梅完成 ROS 成像和 qRT-PCR。Arun Patel 分析数据并准备图件。陈琳和李华撰写论文，所有作者参与修改。</w:t>
      </w:r>
    </w:p>
    <w:p>
      <w:pPr>
        <w:pStyle w:val="Heading1"/>
        <w:spacing w:line="360" w:lineRule="auto"/>
        <w:jc w:val="left"/>
      </w:pPr>
      <w:r>
        <w:rPr>
          <w:color w:val="000000"/>
          <w:sz w:val="24"/>
          <w:szCs w:val="24"/>
        </w:rPr>
        <w:t>利益冲突</w:t>
      </w:r>
    </w:p>
    <w:p>
      <w:pPr>
        <w:spacing w:line="360" w:lineRule="auto"/>
        <w:jc w:val="both"/>
      </w:pPr>
      <w:r>
        <w:rPr>
          <w:color w:val="000000"/>
          <w:sz w:val="24"/>
          <w:szCs w:val="24"/>
        </w:rPr>
        <w:t>作者声明不存在利益冲突。</w:t>
      </w:r>
    </w:p>
    <w:p>
      <w:pPr>
        <w:pStyle w:val="Heading1"/>
        <w:spacing w:line="360" w:lineRule="auto"/>
        <w:jc w:val="left"/>
      </w:pPr>
      <w:r>
        <w:rPr>
          <w:color w:val="000000"/>
          <w:sz w:val="24"/>
          <w:szCs w:val="24"/>
        </w:rPr>
        <w:t>致谢</w:t>
      </w:r>
    </w:p>
    <w:p>
      <w:pPr>
        <w:spacing w:line="360" w:lineRule="auto"/>
        <w:jc w:val="both"/>
      </w:pPr>
      <w:r>
        <w:rPr>
          <w:color w:val="000000"/>
          <w:sz w:val="24"/>
          <w:szCs w:val="24"/>
        </w:rPr>
        <w:t>感谢示例植物生物学团队成员的讨论。</w:t>
      </w:r>
    </w:p>
    <w:p>
      <w:pPr>
        <w:pStyle w:val="Heading1"/>
        <w:spacing w:line="360" w:lineRule="auto"/>
        <w:jc w:val="left"/>
      </w:pPr>
      <w:r>
        <w:rPr>
          <w:color w:val="000000"/>
          <w:sz w:val="24"/>
          <w:szCs w:val="24"/>
        </w:rPr>
        <w:t>图注</w:t>
      </w:r>
    </w:p>
    <w:p>
      <w:pPr>
        <w:pStyle w:val="Heading2"/>
        <w:spacing w:line="360" w:lineRule="auto"/>
        <w:jc w:val="left"/>
      </w:pPr>
      <w:r>
        <w:rPr>
          <w:color w:val="000000"/>
          <w:sz w:val="24"/>
          <w:szCs w:val="24"/>
        </w:rPr>
        <w:t>图 1. DRK1 缺失削弱 ABA 诱导的气孔关闭。</w:t>
      </w:r>
    </w:p>
    <w:p>
      <w:pPr>
        <w:spacing w:line="360" w:lineRule="auto"/>
        <w:jc w:val="both"/>
      </w:pPr>
      <w:r>
        <w:rPr>
          <w:color w:val="000000"/>
          <w:sz w:val="24"/>
          <w:szCs w:val="24"/>
        </w:rPr>
        <w:t>(A) mock 或 ABA 处理后野生型和 drk1-1 叶片气孔的代表性明场图像。比例尺，10 um。(B) mock 或 10 uM ABA 处理 2 h 后的气孔开度定量。数据为 3 个生物学重复的均值 +/- SEM，每个重复测量 60 个气孔。(C) ABA 处理后野生型和 drk1-1 的气孔开度分布。(D) 基于重复均值计算的 ABA 诱导关闭指数。不同字母表示双因素方差分析后 Tukey 检验 P &lt; 0.05。</w:t>
      </w:r>
    </w:p>
    <w:p>
      <w:pPr>
        <w:pStyle w:val="Heading2"/>
        <w:spacing w:line="360" w:lineRule="auto"/>
        <w:jc w:val="left"/>
      </w:pPr>
      <w:r>
        <w:rPr>
          <w:color w:val="000000"/>
          <w:sz w:val="24"/>
          <w:szCs w:val="24"/>
        </w:rPr>
        <w:t>图 2. DRK1 自身启动子驱动的互补株部分恢复 ABA 响应。</w:t>
      </w:r>
    </w:p>
    <w:p>
      <w:pPr>
        <w:spacing w:line="360" w:lineRule="auto"/>
        <w:jc w:val="both"/>
      </w:pPr>
      <w:r>
        <w:rPr>
          <w:color w:val="000000"/>
          <w:sz w:val="24"/>
          <w:szCs w:val="24"/>
        </w:rPr>
        <w:t>(A) 野生型、drk1-1 和 DRK1 互补株中的 DRK1 转录本丰度，数值归一化至野生型。(B) ABA 处理后野生型、drk1-1 和互补株的气孔开度。数据为 3 个生物学重复的均值 +/- SEM。不同字母表示单因素方差分析后 Tukey 检验 P &lt; 0.05。</w:t>
      </w:r>
    </w:p>
    <w:p>
      <w:pPr>
        <w:pStyle w:val="Heading2"/>
        <w:spacing w:line="360" w:lineRule="auto"/>
        <w:jc w:val="left"/>
      </w:pPr>
      <w:r>
        <w:rPr>
          <w:color w:val="000000"/>
          <w:sz w:val="24"/>
          <w:szCs w:val="24"/>
        </w:rPr>
        <w:t>图 3. DRK1 缺失降低保卫细胞中 ABA 诱导的 ROS 积累。</w:t>
      </w:r>
    </w:p>
    <w:p>
      <w:pPr>
        <w:spacing w:line="360" w:lineRule="auto"/>
        <w:jc w:val="both"/>
      </w:pPr>
      <w:r>
        <w:rPr>
          <w:color w:val="000000"/>
          <w:sz w:val="24"/>
          <w:szCs w:val="24"/>
        </w:rPr>
        <w:t>(A) ABA 处理后保卫细胞 H2DCF-DA 荧光代表图像。比例尺，20 um。(B) mock 和 ABA 处理样本中的归一化荧光强度定量。数据为 3 个生物学重复的均值 +/- SEM。不同字母表示单因素方差分析后 Tukey 检验 P &lt; 0.05。</w:t>
      </w:r>
    </w:p>
    <w:p>
      <w:pPr>
        <w:pStyle w:val="Heading2"/>
        <w:spacing w:line="360" w:lineRule="auto"/>
        <w:jc w:val="left"/>
      </w:pPr>
      <w:r>
        <w:rPr>
          <w:color w:val="000000"/>
          <w:sz w:val="24"/>
          <w:szCs w:val="24"/>
        </w:rPr>
        <w:t>图 4. DRK1 影响部分 ABA 响应标记基因的表达。</w:t>
      </w:r>
    </w:p>
    <w:p>
      <w:pPr>
        <w:spacing w:line="360" w:lineRule="auto"/>
        <w:jc w:val="both"/>
      </w:pPr>
      <w:r>
        <w:rPr>
          <w:color w:val="000000"/>
          <w:sz w:val="24"/>
          <w:szCs w:val="24"/>
        </w:rPr>
        <w:t>(A) ABA 处理 3 h 后，野生型、drk1-1 和互补株中 RD29B、RAB18 和 ABI5 的相对表达。表达量归一化至 mock 处理野生型。数据为 3 个生物学重复的均值 +/- SEM。(B) 转录数据支持更广泛的 ABA 响应减弱，但不证明保卫细胞特异性转录调控。</w:t>
      </w:r>
    </w:p>
    <w:p>
      <w:pPr>
        <w:pStyle w:val="Heading2"/>
        <w:spacing w:line="360" w:lineRule="auto"/>
        <w:jc w:val="left"/>
      </w:pPr>
      <w:r>
        <w:rPr>
          <w:color w:val="000000"/>
          <w:sz w:val="24"/>
          <w:szCs w:val="24"/>
        </w:rPr>
        <w:t>图 5. 证据边界明确的工作模型。</w:t>
      </w:r>
    </w:p>
    <w:p>
      <w:pPr>
        <w:spacing w:line="360" w:lineRule="auto"/>
        <w:jc w:val="both"/>
      </w:pPr>
      <w:r>
        <w:rPr>
          <w:color w:val="000000"/>
          <w:sz w:val="24"/>
          <w:szCs w:val="24"/>
        </w:rPr>
        <w:t>DRK1 参与完整 ABA 诱导气孔关闭响应，并与 ABA 诱导的 ROS 积累及部分 ABA 响应转录输出相关。虚线箭头表示尚未解析的通路位置。</w:t>
      </w:r>
    </w:p>
    <w:p>
      <w:pPr>
        <w:pStyle w:val="Heading1"/>
        <w:spacing w:line="360" w:lineRule="auto"/>
        <w:jc w:val="left"/>
      </w:pPr>
      <w:r>
        <w:rPr>
          <w:color w:val="000000"/>
          <w:sz w:val="24"/>
          <w:szCs w:val="24"/>
        </w:rPr>
        <w:t>补充表 1. 统计结果摘要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360" w:lineRule="auto"/>
              <w:jc w:val="both"/>
            </w:pPr>
            <w:r>
              <w:rPr>
                <w:color w:val="000000"/>
                <w:sz w:val="24"/>
                <w:szCs w:val="24"/>
              </w:rPr>
              <w:t>实验</w:t>
            </w:r>
          </w:p>
        </w:tc>
        <w:tc>
          <w:tcPr>
            <w:tcW w:type="dxa" w:w="1728"/>
          </w:tcPr>
          <w:p>
            <w:pPr>
              <w:spacing w:line="360" w:lineRule="auto"/>
              <w:jc w:val="both"/>
            </w:pPr>
            <w:r>
              <w:rPr>
                <w:color w:val="000000"/>
                <w:sz w:val="24"/>
                <w:szCs w:val="24"/>
              </w:rPr>
              <w:t>比较</w:t>
            </w:r>
          </w:p>
        </w:tc>
        <w:tc>
          <w:tcPr>
            <w:tcW w:type="dxa" w:w="1728"/>
          </w:tcPr>
          <w:p>
            <w:pPr>
              <w:spacing w:line="360" w:lineRule="auto"/>
              <w:jc w:val="both"/>
            </w:pPr>
            <w:r>
              <w:rPr>
                <w:color w:val="000000"/>
                <w:sz w:val="24"/>
                <w:szCs w:val="24"/>
              </w:rPr>
              <w:t>均值差异</w:t>
            </w:r>
          </w:p>
        </w:tc>
        <w:tc>
          <w:tcPr>
            <w:tcW w:type="dxa" w:w="1728"/>
          </w:tcPr>
          <w:p>
            <w:pPr>
              <w:spacing w:line="360" w:lineRule="auto"/>
              <w:jc w:val="both"/>
            </w:pPr>
            <w:r>
              <w:rPr>
                <w:color w:val="000000"/>
                <w:sz w:val="24"/>
                <w:szCs w:val="24"/>
              </w:rPr>
              <w:t>P 值</w:t>
            </w:r>
          </w:p>
        </w:tc>
        <w:tc>
          <w:tcPr>
            <w:tcW w:type="dxa" w:w="1728"/>
          </w:tcPr>
          <w:p>
            <w:pPr>
              <w:spacing w:line="360" w:lineRule="auto"/>
              <w:jc w:val="both"/>
            </w:pPr>
            <w:r>
              <w:rPr>
                <w:color w:val="000000"/>
                <w:sz w:val="24"/>
                <w:szCs w:val="24"/>
              </w:rPr>
              <w:t>解释</w:t>
            </w:r>
          </w:p>
        </w:tc>
      </w:tr>
      <w:tr>
        <w:tc>
          <w:tcPr>
            <w:tcW w:type="dxa" w:w="1728"/>
          </w:tcPr>
          <w:p>
            <w:pPr>
              <w:spacing w:line="360" w:lineRule="auto"/>
              <w:jc w:val="both"/>
            </w:pPr>
            <w:r>
              <w:rPr>
                <w:color w:val="000000"/>
                <w:sz w:val="24"/>
                <w:szCs w:val="24"/>
              </w:rPr>
              <w:t>气孔开度</w:t>
            </w:r>
          </w:p>
        </w:tc>
        <w:tc>
          <w:tcPr>
            <w:tcW w:type="dxa" w:w="1728"/>
          </w:tcPr>
          <w:p>
            <w:pPr>
              <w:spacing w:line="360" w:lineRule="auto"/>
              <w:jc w:val="both"/>
            </w:pPr>
            <w:r>
              <w:rPr>
                <w:color w:val="000000"/>
                <w:sz w:val="24"/>
                <w:szCs w:val="24"/>
              </w:rPr>
              <w:t>WT ABA vs drk1-1 ABA</w:t>
            </w:r>
          </w:p>
        </w:tc>
        <w:tc>
          <w:tcPr>
            <w:tcW w:type="dxa" w:w="1728"/>
          </w:tcPr>
          <w:p>
            <w:pPr>
              <w:spacing w:line="360" w:lineRule="auto"/>
              <w:jc w:val="both"/>
            </w:pPr>
            <w:r>
              <w:rPr>
                <w:color w:val="000000"/>
                <w:sz w:val="24"/>
                <w:szCs w:val="24"/>
              </w:rPr>
              <w:t>1.53 um</w:t>
            </w:r>
          </w:p>
        </w:tc>
        <w:tc>
          <w:tcPr>
            <w:tcW w:type="dxa" w:w="1728"/>
          </w:tcPr>
          <w:p>
            <w:pPr>
              <w:spacing w:line="360" w:lineRule="auto"/>
              <w:jc w:val="both"/>
            </w:pPr>
            <w:r>
              <w:rPr>
                <w:color w:val="000000"/>
                <w:sz w:val="24"/>
                <w:szCs w:val="24"/>
              </w:rPr>
              <w:t>&lt;0.0001</w:t>
            </w:r>
          </w:p>
        </w:tc>
        <w:tc>
          <w:tcPr>
            <w:tcW w:type="dxa" w:w="1728"/>
          </w:tcPr>
          <w:p>
            <w:pPr>
              <w:spacing w:line="360" w:lineRule="auto"/>
              <w:jc w:val="both"/>
            </w:pPr>
            <w:r>
              <w:rPr>
                <w:color w:val="000000"/>
                <w:sz w:val="24"/>
                <w:szCs w:val="24"/>
              </w:rPr>
              <w:t>ABA 处理后 drk1-1 气孔仍更大</w:t>
            </w:r>
          </w:p>
        </w:tc>
      </w:tr>
      <w:tr>
        <w:tc>
          <w:tcPr>
            <w:tcW w:type="dxa" w:w="1728"/>
          </w:tcPr>
          <w:p>
            <w:pPr>
              <w:spacing w:line="360" w:lineRule="auto"/>
              <w:jc w:val="both"/>
            </w:pPr>
            <w:r>
              <w:rPr>
                <w:color w:val="000000"/>
                <w:sz w:val="24"/>
                <w:szCs w:val="24"/>
              </w:rPr>
              <w:t>气孔开度</w:t>
            </w:r>
          </w:p>
        </w:tc>
        <w:tc>
          <w:tcPr>
            <w:tcW w:type="dxa" w:w="1728"/>
          </w:tcPr>
          <w:p>
            <w:pPr>
              <w:spacing w:line="360" w:lineRule="auto"/>
              <w:jc w:val="both"/>
            </w:pPr>
            <w:r>
              <w:rPr>
                <w:color w:val="000000"/>
                <w:sz w:val="24"/>
                <w:szCs w:val="24"/>
              </w:rPr>
              <w:t>drk1-1 ABA vs 互补株 ABA</w:t>
            </w:r>
          </w:p>
        </w:tc>
        <w:tc>
          <w:tcPr>
            <w:tcW w:type="dxa" w:w="1728"/>
          </w:tcPr>
          <w:p>
            <w:pPr>
              <w:spacing w:line="360" w:lineRule="auto"/>
              <w:jc w:val="both"/>
            </w:pPr>
            <w:r>
              <w:rPr>
                <w:color w:val="000000"/>
                <w:sz w:val="24"/>
                <w:szCs w:val="24"/>
              </w:rPr>
              <w:t>1.15 um</w:t>
            </w:r>
          </w:p>
        </w:tc>
        <w:tc>
          <w:tcPr>
            <w:tcW w:type="dxa" w:w="1728"/>
          </w:tcPr>
          <w:p>
            <w:pPr>
              <w:spacing w:line="360" w:lineRule="auto"/>
              <w:jc w:val="both"/>
            </w:pPr>
            <w:r>
              <w:rPr>
                <w:color w:val="000000"/>
                <w:sz w:val="24"/>
                <w:szCs w:val="24"/>
              </w:rPr>
              <w:t>&lt;0.0001</w:t>
            </w:r>
          </w:p>
        </w:tc>
        <w:tc>
          <w:tcPr>
            <w:tcW w:type="dxa" w:w="1728"/>
          </w:tcPr>
          <w:p>
            <w:pPr>
              <w:spacing w:line="360" w:lineRule="auto"/>
              <w:jc w:val="both"/>
            </w:pPr>
            <w:r>
              <w:rPr>
                <w:color w:val="000000"/>
                <w:sz w:val="24"/>
                <w:szCs w:val="24"/>
              </w:rPr>
              <w:t>互补株部分恢复气孔关闭</w:t>
            </w:r>
          </w:p>
        </w:tc>
      </w:tr>
      <w:tr>
        <w:tc>
          <w:tcPr>
            <w:tcW w:type="dxa" w:w="1728"/>
          </w:tcPr>
          <w:p>
            <w:pPr>
              <w:spacing w:line="360" w:lineRule="auto"/>
              <w:jc w:val="both"/>
            </w:pPr>
            <w:r>
              <w:rPr>
                <w:color w:val="000000"/>
                <w:sz w:val="24"/>
                <w:szCs w:val="24"/>
              </w:rPr>
              <w:t>ROS 荧光</w:t>
            </w:r>
          </w:p>
        </w:tc>
        <w:tc>
          <w:tcPr>
            <w:tcW w:type="dxa" w:w="1728"/>
          </w:tcPr>
          <w:p>
            <w:pPr>
              <w:spacing w:line="360" w:lineRule="auto"/>
              <w:jc w:val="both"/>
            </w:pPr>
            <w:r>
              <w:rPr>
                <w:color w:val="000000"/>
                <w:sz w:val="24"/>
                <w:szCs w:val="24"/>
              </w:rPr>
              <w:t>WT ABA vs drk1-1 ABA</w:t>
            </w:r>
          </w:p>
        </w:tc>
        <w:tc>
          <w:tcPr>
            <w:tcW w:type="dxa" w:w="1728"/>
          </w:tcPr>
          <w:p>
            <w:pPr>
              <w:spacing w:line="360" w:lineRule="auto"/>
              <w:jc w:val="both"/>
            </w:pPr>
            <w:r>
              <w:rPr>
                <w:color w:val="000000"/>
                <w:sz w:val="24"/>
                <w:szCs w:val="24"/>
              </w:rPr>
              <w:t>1.26 倍</w:t>
            </w:r>
          </w:p>
        </w:tc>
        <w:tc>
          <w:tcPr>
            <w:tcW w:type="dxa" w:w="1728"/>
          </w:tcPr>
          <w:p>
            <w:pPr>
              <w:spacing w:line="360" w:lineRule="auto"/>
              <w:jc w:val="both"/>
            </w:pPr>
            <w:r>
              <w:rPr>
                <w:color w:val="000000"/>
                <w:sz w:val="24"/>
                <w:szCs w:val="24"/>
              </w:rPr>
              <w:t>0.0007</w:t>
            </w:r>
          </w:p>
        </w:tc>
        <w:tc>
          <w:tcPr>
            <w:tcW w:type="dxa" w:w="1728"/>
          </w:tcPr>
          <w:p>
            <w:pPr>
              <w:spacing w:line="360" w:lineRule="auto"/>
              <w:jc w:val="both"/>
            </w:pPr>
            <w:r>
              <w:rPr>
                <w:color w:val="000000"/>
                <w:sz w:val="24"/>
                <w:szCs w:val="24"/>
              </w:rPr>
              <w:t>drk1-1 中 ABA 诱导 ROS 降低</w:t>
            </w:r>
          </w:p>
        </w:tc>
      </w:tr>
      <w:tr>
        <w:tc>
          <w:tcPr>
            <w:tcW w:type="dxa" w:w="1728"/>
          </w:tcPr>
          <w:p>
            <w:pPr>
              <w:spacing w:line="360" w:lineRule="auto"/>
              <w:jc w:val="both"/>
            </w:pPr>
            <w:r>
              <w:rPr>
                <w:color w:val="000000"/>
                <w:sz w:val="24"/>
                <w:szCs w:val="24"/>
              </w:rPr>
              <w:t>qRT-PCR RD29B</w:t>
            </w:r>
          </w:p>
        </w:tc>
        <w:tc>
          <w:tcPr>
            <w:tcW w:type="dxa" w:w="1728"/>
          </w:tcPr>
          <w:p>
            <w:pPr>
              <w:spacing w:line="360" w:lineRule="auto"/>
              <w:jc w:val="both"/>
            </w:pPr>
            <w:r>
              <w:rPr>
                <w:color w:val="000000"/>
                <w:sz w:val="24"/>
                <w:szCs w:val="24"/>
              </w:rPr>
              <w:t>WT ABA vs drk1-1 ABA</w:t>
            </w:r>
          </w:p>
        </w:tc>
        <w:tc>
          <w:tcPr>
            <w:tcW w:type="dxa" w:w="1728"/>
          </w:tcPr>
          <w:p>
            <w:pPr>
              <w:spacing w:line="360" w:lineRule="auto"/>
              <w:jc w:val="both"/>
            </w:pPr>
            <w:r>
              <w:rPr>
                <w:color w:val="000000"/>
                <w:sz w:val="24"/>
                <w:szCs w:val="24"/>
              </w:rPr>
              <w:t>3.2 倍</w:t>
            </w:r>
          </w:p>
        </w:tc>
        <w:tc>
          <w:tcPr>
            <w:tcW w:type="dxa" w:w="1728"/>
          </w:tcPr>
          <w:p>
            <w:pPr>
              <w:spacing w:line="360" w:lineRule="auto"/>
              <w:jc w:val="both"/>
            </w:pPr>
            <w:r>
              <w:rPr>
                <w:color w:val="000000"/>
                <w:sz w:val="24"/>
                <w:szCs w:val="24"/>
              </w:rPr>
              <w:t>0.0018</w:t>
            </w:r>
          </w:p>
        </w:tc>
        <w:tc>
          <w:tcPr>
            <w:tcW w:type="dxa" w:w="1728"/>
          </w:tcPr>
          <w:p>
            <w:pPr>
              <w:spacing w:line="360" w:lineRule="auto"/>
              <w:jc w:val="both"/>
            </w:pPr>
            <w:r>
              <w:rPr>
                <w:color w:val="000000"/>
                <w:sz w:val="24"/>
                <w:szCs w:val="24"/>
              </w:rPr>
              <w:t>标记基因诱导减弱</w:t>
            </w:r>
          </w:p>
        </w:tc>
      </w:tr>
      <w:tr>
        <w:tc>
          <w:tcPr>
            <w:tcW w:type="dxa" w:w="1728"/>
          </w:tcPr>
          <w:p>
            <w:pPr>
              <w:spacing w:line="360" w:lineRule="auto"/>
              <w:jc w:val="both"/>
            </w:pPr>
            <w:r>
              <w:rPr>
                <w:color w:val="000000"/>
                <w:sz w:val="24"/>
                <w:szCs w:val="24"/>
              </w:rPr>
              <w:t>qRT-PCR RAB18</w:t>
            </w:r>
          </w:p>
        </w:tc>
        <w:tc>
          <w:tcPr>
            <w:tcW w:type="dxa" w:w="1728"/>
          </w:tcPr>
          <w:p>
            <w:pPr>
              <w:spacing w:line="360" w:lineRule="auto"/>
              <w:jc w:val="both"/>
            </w:pPr>
            <w:r>
              <w:rPr>
                <w:color w:val="000000"/>
                <w:sz w:val="24"/>
                <w:szCs w:val="24"/>
              </w:rPr>
              <w:t>WT ABA vs drk1-1 ABA</w:t>
            </w:r>
          </w:p>
        </w:tc>
        <w:tc>
          <w:tcPr>
            <w:tcW w:type="dxa" w:w="1728"/>
          </w:tcPr>
          <w:p>
            <w:pPr>
              <w:spacing w:line="360" w:lineRule="auto"/>
              <w:jc w:val="both"/>
            </w:pPr>
            <w:r>
              <w:rPr>
                <w:color w:val="000000"/>
                <w:sz w:val="24"/>
                <w:szCs w:val="24"/>
              </w:rPr>
              <w:t>3.1 倍</w:t>
            </w:r>
          </w:p>
        </w:tc>
        <w:tc>
          <w:tcPr>
            <w:tcW w:type="dxa" w:w="1728"/>
          </w:tcPr>
          <w:p>
            <w:pPr>
              <w:spacing w:line="360" w:lineRule="auto"/>
              <w:jc w:val="both"/>
            </w:pPr>
            <w:r>
              <w:rPr>
                <w:color w:val="000000"/>
                <w:sz w:val="24"/>
                <w:szCs w:val="24"/>
              </w:rPr>
              <w:t>0.0021</w:t>
            </w:r>
          </w:p>
        </w:tc>
        <w:tc>
          <w:tcPr>
            <w:tcW w:type="dxa" w:w="1728"/>
          </w:tcPr>
          <w:p>
            <w:pPr>
              <w:spacing w:line="360" w:lineRule="auto"/>
              <w:jc w:val="both"/>
            </w:pPr>
            <w:r>
              <w:rPr>
                <w:color w:val="000000"/>
                <w:sz w:val="24"/>
                <w:szCs w:val="24"/>
              </w:rPr>
              <w:t>标记基因诱导减弱</w:t>
            </w:r>
          </w:p>
        </w:tc>
      </w:tr>
      <w:tr>
        <w:tc>
          <w:tcPr>
            <w:tcW w:type="dxa" w:w="1728"/>
          </w:tcPr>
          <w:p>
            <w:pPr>
              <w:spacing w:line="360" w:lineRule="auto"/>
              <w:jc w:val="both"/>
            </w:pPr>
            <w:r>
              <w:rPr>
                <w:color w:val="000000"/>
                <w:sz w:val="24"/>
                <w:szCs w:val="24"/>
              </w:rPr>
              <w:t>qRT-PCR ABI5</w:t>
            </w:r>
          </w:p>
        </w:tc>
        <w:tc>
          <w:tcPr>
            <w:tcW w:type="dxa" w:w="1728"/>
          </w:tcPr>
          <w:p>
            <w:pPr>
              <w:spacing w:line="360" w:lineRule="auto"/>
              <w:jc w:val="both"/>
            </w:pPr>
            <w:r>
              <w:rPr>
                <w:color w:val="000000"/>
                <w:sz w:val="24"/>
                <w:szCs w:val="24"/>
              </w:rPr>
              <w:t>WT ABA vs drk1-1 ABA</w:t>
            </w:r>
          </w:p>
        </w:tc>
        <w:tc>
          <w:tcPr>
            <w:tcW w:type="dxa" w:w="1728"/>
          </w:tcPr>
          <w:p>
            <w:pPr>
              <w:spacing w:line="360" w:lineRule="auto"/>
              <w:jc w:val="both"/>
            </w:pPr>
            <w:r>
              <w:rPr>
                <w:color w:val="000000"/>
                <w:sz w:val="24"/>
                <w:szCs w:val="24"/>
              </w:rPr>
              <w:t>1.3 倍</w:t>
            </w:r>
          </w:p>
        </w:tc>
        <w:tc>
          <w:tcPr>
            <w:tcW w:type="dxa" w:w="1728"/>
          </w:tcPr>
          <w:p>
            <w:pPr>
              <w:spacing w:line="360" w:lineRule="auto"/>
              <w:jc w:val="both"/>
            </w:pPr>
            <w:r>
              <w:rPr>
                <w:color w:val="000000"/>
                <w:sz w:val="24"/>
                <w:szCs w:val="24"/>
              </w:rPr>
              <w:t>0.0180</w:t>
            </w:r>
          </w:p>
        </w:tc>
        <w:tc>
          <w:tcPr>
            <w:tcW w:type="dxa" w:w="1728"/>
          </w:tcPr>
          <w:p>
            <w:pPr>
              <w:spacing w:line="360" w:lineRule="auto"/>
              <w:jc w:val="both"/>
            </w:pPr>
            <w:r>
              <w:rPr>
                <w:color w:val="000000"/>
                <w:sz w:val="24"/>
                <w:szCs w:val="24"/>
              </w:rPr>
              <w:t>标记基因诱导减弱</w:t>
            </w:r>
          </w:p>
        </w:tc>
      </w:tr>
    </w:tbl>
    <w:p>
      <w:pPr>
        <w:spacing w:line="360" w:lineRule="auto"/>
        <w:jc w:val="both"/>
      </w:pPr>
    </w:p>
    <w:p>
      <w:pPr>
        <w:pStyle w:val="Heading1"/>
        <w:spacing w:line="360" w:lineRule="auto"/>
        <w:jc w:val="left"/>
      </w:pPr>
      <w:r>
        <w:rPr>
          <w:color w:val="000000"/>
          <w:sz w:val="24"/>
          <w:szCs w:val="24"/>
        </w:rPr>
        <w:t>补充表 2. 合成示例的可复现性清单</w:t>
      </w:r>
    </w:p>
    <w:tbl>
      <w:tblPr>
        <w:tblStyle w:val="TableGrid"/>
        <w:tblW w:type="auto" w:w="0"/>
        <w:tblLook w:firstColumn="1" w:firstRow="1" w:lastColumn="0" w:lastRow="0" w:noHBand="0" w:noVBand="1" w:val="04A0"/>
      </w:tblPr>
      <w:tblGrid>
        <w:gridCol w:w="4320"/>
        <w:gridCol w:w="4320"/>
      </w:tblGrid>
      <w:tr>
        <w:tc>
          <w:tcPr>
            <w:tcW w:type="dxa" w:w="4320"/>
          </w:tcPr>
          <w:p>
            <w:pPr>
              <w:spacing w:line="360" w:lineRule="auto"/>
              <w:jc w:val="both"/>
            </w:pPr>
            <w:r>
              <w:rPr>
                <w:color w:val="000000"/>
                <w:sz w:val="24"/>
                <w:szCs w:val="24"/>
              </w:rPr>
              <w:t>类别</w:t>
            </w:r>
          </w:p>
        </w:tc>
        <w:tc>
          <w:tcPr>
            <w:tcW w:type="dxa" w:w="4320"/>
          </w:tcPr>
          <w:p>
            <w:pPr>
              <w:spacing w:line="360" w:lineRule="auto"/>
              <w:jc w:val="both"/>
            </w:pPr>
            <w:r>
              <w:rPr>
                <w:color w:val="000000"/>
                <w:sz w:val="24"/>
                <w:szCs w:val="24"/>
              </w:rPr>
              <w:t>已报告细节</w:t>
            </w:r>
          </w:p>
        </w:tc>
      </w:tr>
      <w:tr>
        <w:tc>
          <w:tcPr>
            <w:tcW w:type="dxa" w:w="4320"/>
          </w:tcPr>
          <w:p>
            <w:pPr>
              <w:spacing w:line="360" w:lineRule="auto"/>
              <w:jc w:val="both"/>
            </w:pPr>
            <w:r>
              <w:rPr>
                <w:color w:val="000000"/>
                <w:sz w:val="24"/>
                <w:szCs w:val="24"/>
              </w:rPr>
              <w:t>生物材料</w:t>
            </w:r>
          </w:p>
        </w:tc>
        <w:tc>
          <w:tcPr>
            <w:tcW w:type="dxa" w:w="4320"/>
          </w:tcPr>
          <w:p>
            <w:pPr>
              <w:spacing w:line="360" w:lineRule="auto"/>
              <w:jc w:val="both"/>
            </w:pPr>
            <w:r>
              <w:rPr>
                <w:color w:val="000000"/>
                <w:sz w:val="24"/>
                <w:szCs w:val="24"/>
              </w:rPr>
              <w:t>拟南芥 Col-0、drk1-1 功能缺失突变体、自身启动子驱动的 DRK1 互补株</w:t>
            </w:r>
          </w:p>
        </w:tc>
      </w:tr>
      <w:tr>
        <w:tc>
          <w:tcPr>
            <w:tcW w:type="dxa" w:w="4320"/>
          </w:tcPr>
          <w:p>
            <w:pPr>
              <w:spacing w:line="360" w:lineRule="auto"/>
              <w:jc w:val="both"/>
            </w:pPr>
            <w:r>
              <w:rPr>
                <w:color w:val="000000"/>
                <w:sz w:val="24"/>
                <w:szCs w:val="24"/>
              </w:rPr>
              <w:t>处理条件</w:t>
            </w:r>
          </w:p>
        </w:tc>
        <w:tc>
          <w:tcPr>
            <w:tcW w:type="dxa" w:w="4320"/>
          </w:tcPr>
          <w:p>
            <w:pPr>
              <w:spacing w:line="360" w:lineRule="auto"/>
              <w:jc w:val="both"/>
            </w:pPr>
            <w:r>
              <w:rPr>
                <w:color w:val="000000"/>
                <w:sz w:val="24"/>
                <w:szCs w:val="24"/>
              </w:rPr>
              <w:t>10 uM ABA 或匹配溶剂对照；气孔实验处理 2 h，ROS 成像处理 20 min，qRT-PCR 处理 3 h</w:t>
            </w:r>
          </w:p>
        </w:tc>
      </w:tr>
      <w:tr>
        <w:tc>
          <w:tcPr>
            <w:tcW w:type="dxa" w:w="4320"/>
          </w:tcPr>
          <w:p>
            <w:pPr>
              <w:spacing w:line="360" w:lineRule="auto"/>
              <w:jc w:val="both"/>
            </w:pPr>
            <w:r>
              <w:rPr>
                <w:color w:val="000000"/>
                <w:sz w:val="24"/>
                <w:szCs w:val="24"/>
              </w:rPr>
              <w:t>重复设计</w:t>
            </w:r>
          </w:p>
        </w:tc>
        <w:tc>
          <w:tcPr>
            <w:tcW w:type="dxa" w:w="4320"/>
          </w:tcPr>
          <w:p>
            <w:pPr>
              <w:spacing w:line="360" w:lineRule="auto"/>
              <w:jc w:val="both"/>
            </w:pPr>
            <w:r>
              <w:rPr>
                <w:color w:val="000000"/>
                <w:sz w:val="24"/>
                <w:szCs w:val="24"/>
              </w:rPr>
              <w:t>3 个独立生物学重复；气孔开度实验每个基因型和处理测量 60 个气孔；qPCR 每个生物学重复含 3 个技术重复</w:t>
            </w:r>
          </w:p>
        </w:tc>
      </w:tr>
      <w:tr>
        <w:tc>
          <w:tcPr>
            <w:tcW w:type="dxa" w:w="4320"/>
          </w:tcPr>
          <w:p>
            <w:pPr>
              <w:spacing w:line="360" w:lineRule="auto"/>
              <w:jc w:val="both"/>
            </w:pPr>
            <w:r>
              <w:rPr>
                <w:color w:val="000000"/>
                <w:sz w:val="24"/>
                <w:szCs w:val="24"/>
              </w:rPr>
              <w:t>对照</w:t>
            </w:r>
          </w:p>
        </w:tc>
        <w:tc>
          <w:tcPr>
            <w:tcW w:type="dxa" w:w="4320"/>
          </w:tcPr>
          <w:p>
            <w:pPr>
              <w:spacing w:line="360" w:lineRule="auto"/>
              <w:jc w:val="both"/>
            </w:pPr>
            <w:r>
              <w:rPr>
                <w:color w:val="000000"/>
                <w:sz w:val="24"/>
                <w:szCs w:val="24"/>
              </w:rPr>
              <w:t>mock 处理、野生型基线、突变体比较、互补株、qPCR 无模板对照和无反转录对照</w:t>
            </w:r>
          </w:p>
        </w:tc>
      </w:tr>
      <w:tr>
        <w:tc>
          <w:tcPr>
            <w:tcW w:type="dxa" w:w="4320"/>
          </w:tcPr>
          <w:p>
            <w:pPr>
              <w:spacing w:line="360" w:lineRule="auto"/>
              <w:jc w:val="both"/>
            </w:pPr>
            <w:r>
              <w:rPr>
                <w:color w:val="000000"/>
                <w:sz w:val="24"/>
                <w:szCs w:val="24"/>
              </w:rPr>
              <w:t>定量方法</w:t>
            </w:r>
          </w:p>
        </w:tc>
        <w:tc>
          <w:tcPr>
            <w:tcW w:type="dxa" w:w="4320"/>
          </w:tcPr>
          <w:p>
            <w:pPr>
              <w:spacing w:line="360" w:lineRule="auto"/>
              <w:jc w:val="both"/>
            </w:pPr>
            <w:r>
              <w:rPr>
                <w:color w:val="000000"/>
                <w:sz w:val="24"/>
                <w:szCs w:val="24"/>
              </w:rPr>
              <w:t>ImageJ 气孔开度测量和保卫细胞荧光分割；qRT-PCR 使用 2^-Delta Delta Ct 方法</w:t>
            </w:r>
          </w:p>
        </w:tc>
      </w:tr>
      <w:tr>
        <w:tc>
          <w:tcPr>
            <w:tcW w:type="dxa" w:w="4320"/>
          </w:tcPr>
          <w:p>
            <w:pPr>
              <w:spacing w:line="360" w:lineRule="auto"/>
              <w:jc w:val="both"/>
            </w:pPr>
            <w:r>
              <w:rPr>
                <w:color w:val="000000"/>
                <w:sz w:val="24"/>
                <w:szCs w:val="24"/>
              </w:rPr>
              <w:t>排除规则</w:t>
            </w:r>
          </w:p>
        </w:tc>
        <w:tc>
          <w:tcPr>
            <w:tcW w:type="dxa" w:w="4320"/>
          </w:tcPr>
          <w:p>
            <w:pPr>
              <w:spacing w:line="360" w:lineRule="auto"/>
              <w:jc w:val="both"/>
            </w:pPr>
            <w:r>
              <w:rPr>
                <w:color w:val="000000"/>
                <w:sz w:val="24"/>
                <w:szCs w:val="24"/>
              </w:rPr>
              <w:t>受损叶片、边缘气孔、失焦图像、饱和荧光图像以及 RNA 纯度不合格样本</w:t>
            </w:r>
          </w:p>
        </w:tc>
      </w:tr>
      <w:tr>
        <w:tc>
          <w:tcPr>
            <w:tcW w:type="dxa" w:w="4320"/>
          </w:tcPr>
          <w:p>
            <w:pPr>
              <w:spacing w:line="360" w:lineRule="auto"/>
              <w:jc w:val="both"/>
            </w:pPr>
            <w:r>
              <w:rPr>
                <w:color w:val="000000"/>
                <w:sz w:val="24"/>
                <w:szCs w:val="24"/>
              </w:rPr>
              <w:t>统计方法</w:t>
            </w:r>
          </w:p>
        </w:tc>
        <w:tc>
          <w:tcPr>
            <w:tcW w:type="dxa" w:w="4320"/>
          </w:tcPr>
          <w:p>
            <w:pPr>
              <w:spacing w:line="360" w:lineRule="auto"/>
              <w:jc w:val="both"/>
            </w:pPr>
            <w:r>
              <w:rPr>
                <w:color w:val="000000"/>
                <w:sz w:val="24"/>
                <w:szCs w:val="24"/>
              </w:rPr>
              <w:t>气孔开度采用双因素方差分析；ABA 处理组 ROS 和 qRT-PCR 比较采用单因素方差分析；事后检验采用 Tukey 检验</w:t>
            </w:r>
          </w:p>
        </w:tc>
      </w:tr>
    </w:tbl>
    <w:p>
      <w:pPr>
        <w:spacing w:line="360" w:lineRule="auto"/>
        <w:jc w:val="both"/>
      </w:pPr>
    </w:p>
    <w:p>
      <w:pPr>
        <w:pStyle w:val="Heading1"/>
        <w:spacing w:line="360" w:lineRule="auto"/>
        <w:jc w:val="left"/>
      </w:pPr>
      <w:r>
        <w:rPr>
          <w:color w:val="000000"/>
          <w:sz w:val="24"/>
          <w:szCs w:val="24"/>
        </w:rPr>
        <w:t>参考文献</w:t>
      </w:r>
    </w:p>
    <w:p>
      <w:pPr>
        <w:spacing w:line="360" w:lineRule="auto"/>
        <w:jc w:val="both"/>
      </w:pPr>
      <w:r>
        <w:rPr>
          <w:color w:val="000000"/>
          <w:sz w:val="24"/>
          <w:szCs w:val="24"/>
        </w:rPr>
        <w:t>1. Schroeder JI, Kwak JM, Allen GJ. Guard cell abscisic acid signalling and engineering drought hardiness in plants. Nature. 2001;410:327-330. doi:10.1038/35066500</w:t>
      </w:r>
    </w:p>
    <w:p>
      <w:pPr>
        <w:spacing w:line="360" w:lineRule="auto"/>
        <w:jc w:val="both"/>
      </w:pPr>
      <w:r>
        <w:rPr>
          <w:color w:val="000000"/>
          <w:sz w:val="24"/>
          <w:szCs w:val="24"/>
        </w:rPr>
        <w:t>2. Cutler SR, Rodriguez PL, Finkelstein RR, Abrams SR. Abscisic acid: emergence of a core signaling network. Annual Review of Plant Biology. 2010;61:651-679. doi:10.1146/annurev-arplant-042809-112122</w:t>
      </w:r>
    </w:p>
    <w:p>
      <w:pPr>
        <w:spacing w:line="360" w:lineRule="auto"/>
        <w:jc w:val="both"/>
      </w:pPr>
      <w:r>
        <w:rPr>
          <w:color w:val="000000"/>
          <w:sz w:val="24"/>
          <w:szCs w:val="24"/>
        </w:rPr>
        <w:t>3. Pei ZM, Murata Y, Benning G, Thomine S, Klusener B, Allen GJ, Grill E, Schroeder JI. Calcium channels activated by hydrogen peroxide mediate abscisic acid signalling in guard cells. Nature. 2000;406:731-734. doi:10.1038/35021067</w:t>
      </w:r>
    </w:p>
    <w:p>
      <w:pPr>
        <w:spacing w:line="360" w:lineRule="auto"/>
        <w:jc w:val="both"/>
      </w:pPr>
      <w:r>
        <w:rPr>
          <w:color w:val="000000"/>
          <w:sz w:val="24"/>
          <w:szCs w:val="24"/>
        </w:rPr>
        <w:t>4. Kwak JM, Mori IC, Pei ZM, Leonhardt N, Torres MA, Dangl JL, Bloom RE, Bodde S, Jones JDG, Schroeder JI. NADPH oxidase AtrbohD and AtrbohF genes function in ROS-dependent ABA signaling in Arabidopsis. EMBO Journal. 2003;22:2623-2633. doi:10.1093/emboj/cdg277</w:t>
      </w:r>
    </w:p>
    <w:p>
      <w:pPr>
        <w:spacing w:line="360" w:lineRule="auto"/>
        <w:jc w:val="both"/>
      </w:pPr>
      <w:r>
        <w:rPr>
          <w:color w:val="000000"/>
          <w:sz w:val="24"/>
          <w:szCs w:val="24"/>
        </w:rPr>
        <w:t>5. Park SY, Fung P, Nishimura N, Jensen DR, Fujii H, Zhao Y, Lumba S, Santiago J, Rodrigues A, Chow TF, et al. Abscisic acid inhibits type 2C protein phosphatases via the PYR/PYL family of START proteins. Science. 2009;324:1068-1071. doi:10.1126/science.1173041</w:t>
      </w:r>
    </w:p>
    <w:p>
      <w:pPr>
        <w:spacing w:line="360" w:lineRule="auto"/>
        <w:jc w:val="both"/>
      </w:pPr>
      <w:r>
        <w:rPr>
          <w:color w:val="000000"/>
          <w:sz w:val="24"/>
          <w:szCs w:val="24"/>
        </w:rPr>
        <w:t>6. Ma Y, Szostkiewicz I, Korte A, Moes D, Yang Y, Christmann A, Grill E. Regulators of PP2C phosphatase activity function as abscisic acid sensors. Science. 2009;324:1064-1068. doi:10.1126/science.1172408</w:t>
      </w:r>
    </w:p>
    <w:p>
      <w:pPr>
        <w:spacing w:line="360" w:lineRule="auto"/>
        <w:jc w:val="both"/>
      </w:pPr>
      <w:r>
        <w:rPr>
          <w:color w:val="000000"/>
          <w:sz w:val="24"/>
          <w:szCs w:val="24"/>
        </w:rPr>
        <w:t>7. Mustilli AC, Merlot S, Vavasseur A, Fenzi F, Giraudat J. Arabidopsis OST1 protein kinase mediates the regulation of stomatal aperture by abscisic acid and acts upstream of reactive oxygen species production. The Plant Cell. 2002;14:3089-3099. doi:10.1105/tpc.007906</w:t>
      </w:r>
    </w:p>
    <w:p>
      <w:pPr>
        <w:spacing w:line="360" w:lineRule="auto"/>
        <w:jc w:val="both"/>
      </w:pPr>
      <w:r>
        <w:rPr>
          <w:color w:val="000000"/>
          <w:sz w:val="24"/>
          <w:szCs w:val="24"/>
        </w:rPr>
        <w:t>8. Vahisalu T, Kollist H, Wang YF, Nishimura N, Chan WY, Valerio G, Lamminmaki A, Brosche M, Moldau H, Desikan R, et al. SLAC1 is required for plant guard cell S-type anion channel function in stomatal signalling. Nature. 2008;452:487-491. doi:10.1038/nature06608</w:t>
      </w:r>
    </w:p>
    <w:p>
      <w:pPr>
        <w:spacing w:line="360" w:lineRule="auto"/>
        <w:jc w:val="both"/>
      </w:pPr>
      <w:r>
        <w:rPr>
          <w:color w:val="000000"/>
          <w:sz w:val="24"/>
          <w:szCs w:val="24"/>
        </w:rPr>
        <w:t>9. Geiger D, Scherzer S, Mumm P, Stange A, Marten I, Bauer H, Ache P, Matschi S, Liese A, Al-Rasheid KAS, Romeis T, Hedrich R. Activity of guard cell anion channel SLAC1 is controlled by drought-stress signaling kinase-phosphatase pair. Proceedings of the National Academy of Sciences USA. 2009;106:21425-21430. doi:10.1073/pnas.0903532106</w:t>
      </w:r>
    </w:p>
    <w:p>
      <w:pPr>
        <w:spacing w:line="360" w:lineRule="auto"/>
        <w:jc w:val="both"/>
      </w:pPr>
      <w:r>
        <w:rPr>
          <w:color w:val="000000"/>
          <w:sz w:val="24"/>
          <w:szCs w:val="24"/>
        </w:rPr>
        <w:t>10. Brandt B, Munemasa S, Wang C, Nguyen D, Yong T, Yang PG, Poretsky E, Belknap TF, Waadt R, Aleman F, Schroeder JI. Calcium specificity signaling mechanisms in abscisic acid signal transduction in Arabidopsis guard cells. eLife. 2015;4:e03599. doi:10.7554/eLife.03599</w:t>
      </w:r>
    </w:p>
    <w:sectPr w:rsidR="00FC693F" w:rsidRPr="0006063C" w:rsidSect="00034616">
      <w:pgSz w:w="12240" w:h="15840"/>
      <w:pgMar w:top="1440" w:right="1800" w:bottom="1440" w:left="180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ns1="http://schemas.openxmlformats.org/markup-compatibility/2006" xmlns:w="http://schemas.openxmlformats.org/wordprocessingml/2006/main" ns1:Ignorable="w14">
  <w:docDefaults>
    <w:rPrDefault>
      <w:rPr>
        <w:rFonts w:asciiTheme="minorHAnsi" w:eastAsiaTheme="minorEastAsia" w:hAnsiTheme="minorHAnsi" w:cstheme="minorBidi"/>
        <w:color w:val="000000"/>
        <w:sz w:val="24"/>
        <w:szCs w:val="24"/>
        <w:lang w:val="en-US" w:eastAsia="en-US" w:bidi="ar-SA"/>
      </w:rPr>
    </w:rPrDefault>
    <w:pPrDefault>
      <w:pPr>
        <w:spacing w:after="200" w:line="360" w:lineRule="auto"/>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sz w:val="24"/>
      <w:szCs w:val="24"/>
    </w:rPr>
    <w:pPr>
      <w:spacing w:line="360" w:lineRule="auto"/>
      <w:jc w:val="both"/>
    </w:pPr>
  </w:style>
  <w:style w:type="paragraph" w:styleId="Header">
    <w:name w:val="header"/>
    <w:basedOn w:val="Normal"/>
    <w:link w:val="HeaderChar"/>
    <w:uiPriority w:val="99"/>
    <w:unhideWhenUsed/>
    <w:rsid w:val="00E618BF"/>
    <w:pPr>
      <w:tabs>
        <w:tab w:val="center" w:pos="4680"/>
        <w:tab w:val="right" w:pos="9360"/>
      </w:tabs>
      <w:spacing w:after="0" w:line="360" w:lineRule="auto"/>
      <w:jc w:val="both"/>
    </w:pPr>
    <w:rPr>
      <w:color w:val="000000"/>
      <w:sz w:val="24"/>
      <w:szCs w:val="24"/>
    </w:rPr>
  </w:style>
  <w:style w:type="character" w:customStyle="1" w:styleId="HeaderChar">
    <w:name w:val="Header Char"/>
    <w:basedOn w:val="DefaultParagraphFont"/>
    <w:link w:val="Header"/>
    <w:uiPriority w:val="99"/>
    <w:rsid w:val="00E618BF"/>
    <w:rPr>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360" w:lineRule="auto"/>
      <w:jc w:val="both"/>
    </w:pPr>
    <w:rPr>
      <w:color w:val="000000"/>
      <w:sz w:val="24"/>
      <w:szCs w:val="24"/>
    </w:rPr>
  </w:style>
  <w:style w:type="character" w:customStyle="1" w:styleId="FooterChar">
    <w:name w:val="Footer Char"/>
    <w:basedOn w:val="DefaultParagraphFont"/>
    <w:link w:val="Footer"/>
    <w:uiPriority w:val="99"/>
    <w:rsid w:val="00E618BF"/>
    <w:rPr>
      <w:color w:val="000000"/>
      <w:sz w:val="24"/>
      <w:szCs w:val="24"/>
    </w:rPr>
  </w:style>
  <w:style w:type="paragraph" w:styleId="Heading1">
    <w:name w:val="heading 1"/>
    <w:basedOn w:val="Normal"/>
    <w:next w:val="Normal"/>
    <w:link w:val="Heading1Char"/>
    <w:uiPriority w:val="9"/>
    <w:qFormat/>
    <w:rsid w:val="00FC693F"/>
    <w:pPr>
      <w:keepNext/>
      <w:keepLines/>
      <w:spacing w:before="480" w:after="0" w:line="360" w:lineRule="auto"/>
      <w:jc w:val="left"/>
      <w:outlineLvl w:val="0"/>
    </w:pPr>
    <w:rPr>
      <w:rFonts w:asciiTheme="majorHAnsi" w:eastAsiaTheme="majorEastAsia" w:hAnsiTheme="majorHAnsi" w:cstheme="majorBidi"/>
      <w:b/>
      <w:bCs/>
      <w:color w:val="000000"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heme="majorHAnsi" w:eastAsiaTheme="majorEastAsia" w:hAnsiTheme="majorHAnsi" w:cstheme="majorBidi"/>
      <w:b/>
      <w:bCs/>
      <w:color w:val="000000"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line="360" w:lineRule="auto"/>
      <w:jc w:val="left"/>
      <w:outlineLvl w:val="2"/>
    </w:pPr>
    <w:rPr>
      <w:rFonts w:asciiTheme="majorHAnsi" w:eastAsiaTheme="majorEastAsia" w:hAnsiTheme="majorHAnsi" w:cstheme="majorBidi"/>
      <w:b/>
      <w:bCs/>
      <w:color w:val="000000"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jc w:val="left"/>
      <w:outlineLvl w:val="3"/>
    </w:pPr>
    <w:rPr>
      <w:rFonts w:asciiTheme="majorHAnsi" w:eastAsiaTheme="majorEastAsia" w:hAnsiTheme="majorHAnsi" w:cstheme="majorBidi"/>
      <w:b/>
      <w:bCs/>
      <w:i/>
      <w:iCs/>
      <w:color w:val="000000" w:themeColor="accent1"/>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jc w:val="left"/>
      <w:outlineLvl w:val="4"/>
    </w:pPr>
    <w:rPr>
      <w:rFonts w:asciiTheme="majorHAnsi" w:eastAsiaTheme="majorEastAsia" w:hAnsiTheme="majorHAnsi" w:cstheme="majorBidi"/>
      <w:color w:val="000000" w:themeColor="accent1" w:themeShade="7F"/>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jc w:val="left"/>
      <w:outlineLvl w:val="5"/>
    </w:pPr>
    <w:rPr>
      <w:rFonts w:asciiTheme="majorHAnsi" w:eastAsiaTheme="majorEastAsia" w:hAnsiTheme="majorHAnsi" w:cstheme="majorBidi"/>
      <w:i/>
      <w:iCs/>
      <w:color w:val="000000" w:themeColor="accent1" w:themeShade="7F"/>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jc w:val="left"/>
      <w:outlineLvl w:val="6"/>
    </w:pPr>
    <w:rPr>
      <w:rFonts w:asciiTheme="majorHAnsi" w:eastAsiaTheme="majorEastAsia" w:hAnsiTheme="majorHAnsi" w:cstheme="majorBidi"/>
      <w:i/>
      <w:iCs/>
      <w:color w:val="000000" w:themeColor="text1" w:themeTint="BF"/>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jc w:val="left"/>
      <w:outlineLvl w:val="7"/>
    </w:pPr>
    <w:rPr>
      <w:rFonts w:asciiTheme="majorHAnsi" w:eastAsiaTheme="majorEastAsia" w:hAnsiTheme="majorHAnsi" w:cstheme="majorBidi"/>
      <w:color w:val="000000"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jc w:val="left"/>
      <w:outlineLvl w:val="8"/>
    </w:pPr>
    <w:rPr>
      <w:rFonts w:asciiTheme="majorHAnsi" w:eastAsiaTheme="majorEastAsia" w:hAnsiTheme="majorHAnsi" w:cstheme="majorBidi"/>
      <w:i/>
      <w:iCs/>
      <w:color w:val="000000" w:themeColor="text1" w:themeTint="BF"/>
      <w:sz w:val="24"/>
      <w:szCs w:val="24"/>
    </w:rPr>
  </w:style>
  <w:style w:type="character" w:default="1" w:styleId="DefaultParagraphFont">
    <w:name w:val="Default Paragraph Font"/>
    <w:uiPriority w:val="1"/>
    <w:semiHidden/>
    <w:unhideWhenUsed/>
    <w:rPr>
      <w:color w:val="000000"/>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360" w:lineRule="auto"/>
      <w:jc w:val="both"/>
    </w:pPr>
    <w:rPr>
      <w:color w:val="000000"/>
      <w:sz w:val="24"/>
      <w:szCs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Color="accent1" w:themeShade="BF"/>
      <w:sz w:val="24"/>
      <w:szCs w:val="24"/>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themeColor="accent1"/>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themeColor="accent1"/>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jc w:val="left"/>
    </w:pPr>
    <w:rPr>
      <w:rFonts w:asciiTheme="majorHAnsi" w:eastAsiaTheme="majorEastAsia" w:hAnsiTheme="majorHAnsi" w:cstheme="majorBidi"/>
      <w:color w:val="000000" w:themeColor="text2" w:themeShade="BF"/>
      <w:spacing w:val="5"/>
      <w:kern w:val="28"/>
      <w:sz w:val="24"/>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spacing w:line="360" w:lineRule="auto"/>
      <w:jc w:val="left"/>
    </w:pPr>
    <w:rPr>
      <w:rFonts w:asciiTheme="majorHAnsi" w:eastAsiaTheme="majorEastAsia" w:hAnsiTheme="majorHAnsi" w:cstheme="majorBidi"/>
      <w:i/>
      <w:iCs/>
      <w:color w:val="000000"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themeColor="accent1"/>
      <w:spacing w:val="15"/>
      <w:sz w:val="24"/>
      <w:szCs w:val="24"/>
    </w:rPr>
  </w:style>
  <w:style w:type="paragraph" w:styleId="ListParagraph">
    <w:name w:val="List Paragraph"/>
    <w:basedOn w:val="Normal"/>
    <w:uiPriority w:val="34"/>
    <w:qFormat/>
    <w:rsid w:val="00FC693F"/>
    <w:pPr>
      <w:spacing w:line="360" w:lineRule="auto"/>
      <w:ind w:left="720"/>
      <w:contextualSpacing/>
      <w:jc w:val="both"/>
    </w:pPr>
    <w:rPr>
      <w:color w:val="000000"/>
      <w:sz w:val="24"/>
      <w:szCs w:val="24"/>
    </w:rPr>
  </w:style>
  <w:style w:type="paragraph" w:styleId="BodyText">
    <w:name w:val="Body Text"/>
    <w:basedOn w:val="Normal"/>
    <w:link w:val="BodyTextChar"/>
    <w:uiPriority w:val="99"/>
    <w:unhideWhenUsed/>
    <w:rsid w:val="00AA1D8D"/>
    <w:pPr>
      <w:spacing w:after="120" w:line="360" w:lineRule="auto"/>
      <w:jc w:val="both"/>
    </w:pPr>
    <w:rPr>
      <w:color w:val="000000"/>
      <w:sz w:val="24"/>
      <w:szCs w:val="24"/>
    </w:rPr>
  </w:style>
  <w:style w:type="character" w:customStyle="1" w:styleId="BodyTextChar">
    <w:name w:val="Body Text Char"/>
    <w:basedOn w:val="DefaultParagraphFont"/>
    <w:link w:val="BodyText"/>
    <w:uiPriority w:val="99"/>
    <w:rsid w:val="00AA1D8D"/>
    <w:rPr>
      <w:color w:val="000000"/>
      <w:sz w:val="24"/>
      <w:szCs w:val="24"/>
    </w:rPr>
  </w:style>
  <w:style w:type="paragraph" w:styleId="BodyText2">
    <w:name w:val="Body Text 2"/>
    <w:basedOn w:val="Normal"/>
    <w:link w:val="BodyText2Char"/>
    <w:uiPriority w:val="99"/>
    <w:unhideWhenUsed/>
    <w:rsid w:val="00AA1D8D"/>
    <w:pPr>
      <w:spacing w:after="120" w:line="360" w:lineRule="auto"/>
      <w:jc w:val="both"/>
    </w:pPr>
    <w:rPr>
      <w:color w:val="000000"/>
      <w:sz w:val="24"/>
      <w:szCs w:val="24"/>
    </w:rPr>
  </w:style>
  <w:style w:type="character" w:customStyle="1" w:styleId="BodyText2Char">
    <w:name w:val="Body Text 2 Char"/>
    <w:basedOn w:val="DefaultParagraphFont"/>
    <w:link w:val="BodyText2"/>
    <w:uiPriority w:val="99"/>
    <w:rsid w:val="00AA1D8D"/>
    <w:rPr>
      <w:color w:val="000000"/>
      <w:sz w:val="24"/>
      <w:szCs w:val="24"/>
    </w:rPr>
  </w:style>
  <w:style w:type="paragraph" w:styleId="BodyText3">
    <w:name w:val="Body Text 3"/>
    <w:basedOn w:val="Normal"/>
    <w:link w:val="BodyText3Char"/>
    <w:uiPriority w:val="99"/>
    <w:unhideWhenUsed/>
    <w:rsid w:val="00AA1D8D"/>
    <w:pPr>
      <w:spacing w:after="120" w:line="360" w:lineRule="auto"/>
      <w:jc w:val="both"/>
    </w:pPr>
    <w:rPr>
      <w:color w:val="000000"/>
      <w:sz w:val="24"/>
      <w:szCs w:val="24"/>
    </w:rPr>
  </w:style>
  <w:style w:type="character" w:customStyle="1" w:styleId="BodyText3Char">
    <w:name w:val="Body Text 3 Char"/>
    <w:basedOn w:val="DefaultParagraphFont"/>
    <w:link w:val="BodyText3"/>
    <w:uiPriority w:val="99"/>
    <w:rsid w:val="00AA1D8D"/>
    <w:rPr>
      <w:color w:val="000000"/>
      <w:sz w:val="24"/>
      <w:szCs w:val="24"/>
    </w:rPr>
  </w:style>
  <w:style w:type="paragraph" w:styleId="List">
    <w:name w:val="List"/>
    <w:basedOn w:val="Normal"/>
    <w:uiPriority w:val="99"/>
    <w:unhideWhenUsed/>
    <w:rsid w:val="00AA1D8D"/>
    <w:pPr>
      <w:spacing w:line="360" w:lineRule="auto"/>
      <w:ind w:left="360" w:hanging="360"/>
      <w:contextualSpacing/>
      <w:jc w:val="both"/>
    </w:pPr>
    <w:rPr>
      <w:color w:val="000000"/>
      <w:sz w:val="24"/>
      <w:szCs w:val="24"/>
    </w:rPr>
  </w:style>
  <w:style w:type="paragraph" w:styleId="List2">
    <w:name w:val="List 2"/>
    <w:basedOn w:val="Normal"/>
    <w:uiPriority w:val="99"/>
    <w:unhideWhenUsed/>
    <w:rsid w:val="00326F90"/>
    <w:pPr>
      <w:spacing w:line="360" w:lineRule="auto"/>
      <w:ind w:left="720" w:hanging="360"/>
      <w:contextualSpacing/>
      <w:jc w:val="both"/>
    </w:pPr>
    <w:rPr>
      <w:color w:val="000000"/>
      <w:sz w:val="24"/>
      <w:szCs w:val="24"/>
    </w:rPr>
  </w:style>
  <w:style w:type="paragraph" w:styleId="List3">
    <w:name w:val="List 3"/>
    <w:basedOn w:val="Normal"/>
    <w:uiPriority w:val="99"/>
    <w:unhideWhenUsed/>
    <w:rsid w:val="00326F90"/>
    <w:pPr>
      <w:spacing w:line="360" w:lineRule="auto"/>
      <w:ind w:left="1080" w:hanging="360"/>
      <w:contextualSpacing/>
      <w:jc w:val="both"/>
    </w:pPr>
    <w:rPr>
      <w:color w:val="000000"/>
      <w:sz w:val="24"/>
      <w:szCs w:val="24"/>
    </w:rPr>
  </w:style>
  <w:style w:type="paragraph" w:styleId="ListBullet">
    <w:name w:val="List Bullet"/>
    <w:basedOn w:val="Normal"/>
    <w:uiPriority w:val="99"/>
    <w:unhideWhenUsed/>
    <w:rsid w:val="00326F90"/>
    <w:pPr>
      <w:numPr>
        <w:numId w:val="1"/>
      </w:numPr>
      <w:spacing w:line="360" w:lineRule="auto"/>
      <w:contextualSpacing/>
      <w:jc w:val="both"/>
    </w:pPr>
    <w:rPr>
      <w:color w:val="000000"/>
      <w:sz w:val="24"/>
      <w:szCs w:val="24"/>
    </w:rPr>
  </w:style>
  <w:style w:type="paragraph" w:styleId="ListBullet2">
    <w:name w:val="List Bullet 2"/>
    <w:basedOn w:val="Normal"/>
    <w:uiPriority w:val="99"/>
    <w:unhideWhenUsed/>
    <w:rsid w:val="00326F90"/>
    <w:pPr>
      <w:numPr>
        <w:numId w:val="2"/>
      </w:numPr>
      <w:spacing w:line="360" w:lineRule="auto"/>
      <w:contextualSpacing/>
      <w:jc w:val="both"/>
    </w:pPr>
    <w:rPr>
      <w:color w:val="000000"/>
      <w:sz w:val="24"/>
      <w:szCs w:val="24"/>
    </w:rPr>
  </w:style>
  <w:style w:type="paragraph" w:styleId="ListBullet3">
    <w:name w:val="List Bullet 3"/>
    <w:basedOn w:val="Normal"/>
    <w:uiPriority w:val="99"/>
    <w:unhideWhenUsed/>
    <w:rsid w:val="00326F90"/>
    <w:pPr>
      <w:numPr>
        <w:numId w:val="3"/>
      </w:numPr>
      <w:spacing w:line="360" w:lineRule="auto"/>
      <w:contextualSpacing/>
      <w:jc w:val="both"/>
    </w:pPr>
    <w:rPr>
      <w:color w:val="000000"/>
      <w:sz w:val="24"/>
      <w:szCs w:val="24"/>
    </w:rPr>
  </w:style>
  <w:style w:type="paragraph" w:styleId="ListNumber">
    <w:name w:val="List Number"/>
    <w:basedOn w:val="Normal"/>
    <w:uiPriority w:val="99"/>
    <w:unhideWhenUsed/>
    <w:rsid w:val="00326F90"/>
    <w:pPr>
      <w:numPr>
        <w:numId w:val="5"/>
      </w:numPr>
      <w:spacing w:line="360" w:lineRule="auto"/>
      <w:contextualSpacing/>
      <w:jc w:val="both"/>
    </w:pPr>
    <w:rPr>
      <w:color w:val="000000"/>
      <w:sz w:val="24"/>
      <w:szCs w:val="24"/>
    </w:rPr>
  </w:style>
  <w:style w:type="paragraph" w:styleId="ListNumber2">
    <w:name w:val="List Number 2"/>
    <w:basedOn w:val="Normal"/>
    <w:uiPriority w:val="99"/>
    <w:unhideWhenUsed/>
    <w:rsid w:val="0029639D"/>
    <w:pPr>
      <w:numPr>
        <w:numId w:val="6"/>
      </w:numPr>
      <w:spacing w:line="360" w:lineRule="auto"/>
      <w:contextualSpacing/>
      <w:jc w:val="both"/>
    </w:pPr>
    <w:rPr>
      <w:color w:val="000000"/>
      <w:sz w:val="24"/>
      <w:szCs w:val="24"/>
    </w:rPr>
  </w:style>
  <w:style w:type="paragraph" w:styleId="ListNumber3">
    <w:name w:val="List Number 3"/>
    <w:basedOn w:val="Normal"/>
    <w:uiPriority w:val="99"/>
    <w:unhideWhenUsed/>
    <w:rsid w:val="0029639D"/>
    <w:pPr>
      <w:numPr>
        <w:numId w:val="7"/>
      </w:numPr>
      <w:spacing w:line="360" w:lineRule="auto"/>
      <w:contextualSpacing/>
      <w:jc w:val="both"/>
    </w:pPr>
    <w:rPr>
      <w:color w:val="000000"/>
      <w:sz w:val="24"/>
      <w:szCs w:val="24"/>
    </w:rPr>
  </w:style>
  <w:style w:type="paragraph" w:styleId="ListContinue">
    <w:name w:val="List Continue"/>
    <w:basedOn w:val="Normal"/>
    <w:uiPriority w:val="99"/>
    <w:unhideWhenUsed/>
    <w:rsid w:val="0029639D"/>
    <w:pPr>
      <w:spacing w:after="120" w:line="360" w:lineRule="auto"/>
      <w:ind w:left="360"/>
      <w:contextualSpacing/>
      <w:jc w:val="both"/>
    </w:pPr>
    <w:rPr>
      <w:color w:val="000000"/>
      <w:sz w:val="24"/>
      <w:szCs w:val="24"/>
    </w:rPr>
  </w:style>
  <w:style w:type="paragraph" w:styleId="ListContinue2">
    <w:name w:val="List Continue 2"/>
    <w:basedOn w:val="Normal"/>
    <w:uiPriority w:val="99"/>
    <w:unhideWhenUsed/>
    <w:rsid w:val="0029639D"/>
    <w:pPr>
      <w:spacing w:after="120" w:line="360" w:lineRule="auto"/>
      <w:ind w:left="720"/>
      <w:contextualSpacing/>
      <w:jc w:val="both"/>
    </w:pPr>
    <w:rPr>
      <w:color w:val="000000"/>
      <w:sz w:val="24"/>
      <w:szCs w:val="24"/>
    </w:rPr>
  </w:style>
  <w:style w:type="paragraph" w:styleId="ListContinue3">
    <w:name w:val="List Continue 3"/>
    <w:basedOn w:val="Normal"/>
    <w:uiPriority w:val="99"/>
    <w:unhideWhenUsed/>
    <w:rsid w:val="0029639D"/>
    <w:pPr>
      <w:spacing w:after="120" w:line="360" w:lineRule="auto"/>
      <w:ind w:left="1080"/>
      <w:contextualSpacing/>
      <w:jc w:val="both"/>
    </w:pPr>
    <w:rPr>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jc w:val="both"/>
    </w:pPr>
    <w:rPr>
      <w:rFonts w:ascii="Courier" w:hAnsi="Courier"/>
      <w:color w:val="000000"/>
      <w:sz w:val="24"/>
      <w:szCs w:val="24"/>
    </w:rPr>
  </w:style>
  <w:style w:type="character" w:customStyle="1" w:styleId="MacroTextChar">
    <w:name w:val="Macro Text Char"/>
    <w:basedOn w:val="DefaultParagraphFont"/>
    <w:link w:val="MacroText"/>
    <w:uiPriority w:val="99"/>
    <w:rsid w:val="0029639D"/>
    <w:rPr>
      <w:rFonts w:ascii="Courier" w:hAnsi="Courier"/>
      <w:color w:val="000000"/>
      <w:sz w:val="24"/>
      <w:szCs w:val="24"/>
    </w:rPr>
  </w:style>
  <w:style w:type="paragraph" w:styleId="Quote">
    <w:name w:val="Quote"/>
    <w:basedOn w:val="Normal"/>
    <w:next w:val="Normal"/>
    <w:link w:val="QuoteChar"/>
    <w:uiPriority w:val="29"/>
    <w:qFormat/>
    <w:rsid w:val="00FC693F"/>
    <w:rPr>
      <w:i/>
      <w:iCs/>
      <w:color w:val="000000" w:themeColor="text1"/>
      <w:sz w:val="24"/>
      <w:szCs w:val="24"/>
    </w:rPr>
    <w:pPr>
      <w:spacing w:line="360" w:lineRule="auto"/>
      <w:jc w:val="both"/>
    </w:pPr>
  </w:style>
  <w:style w:type="character" w:customStyle="1" w:styleId="QuoteChar">
    <w:name w:val="Quote Char"/>
    <w:basedOn w:val="DefaultParagraphFont"/>
    <w:link w:val="Quote"/>
    <w:uiPriority w:val="29"/>
    <w:rsid w:val="00FC693F"/>
    <w:rPr>
      <w:i/>
      <w:iCs/>
      <w:color w:val="000000" w:themeColor="text1"/>
      <w:sz w:val="24"/>
      <w:szCs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themeColor="accent1"/>
      <w:sz w:val="24"/>
      <w:szCs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Color="accent1" w:themeShade="7F"/>
      <w:sz w:val="24"/>
      <w:szCs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Color="accent1" w:themeShade="7F"/>
      <w:sz w:val="24"/>
      <w:szCs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themeColor="text1" w:themeTint="BF"/>
      <w:sz w:val="24"/>
      <w:szCs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themeColor="accent1"/>
      <w:sz w:val="24"/>
      <w:szCs w:val="24"/>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themeColor="text1" w:themeTint="BF"/>
      <w:sz w:val="24"/>
      <w:szCs w:val="24"/>
    </w:rPr>
  </w:style>
  <w:style w:type="paragraph" w:styleId="Caption">
    <w:name w:val="caption"/>
    <w:basedOn w:val="Normal"/>
    <w:next w:val="Normal"/>
    <w:uiPriority w:val="35"/>
    <w:semiHidden/>
    <w:unhideWhenUsed/>
    <w:qFormat/>
    <w:rsid w:val="00FC693F"/>
    <w:pPr>
      <w:spacing w:line="360" w:lineRule="auto"/>
      <w:jc w:val="both"/>
    </w:pPr>
    <w:rPr>
      <w:b/>
      <w:bCs/>
      <w:color w:val="000000" w:themeColor="accent1"/>
      <w:sz w:val="24"/>
      <w:szCs w:val="24"/>
    </w:rPr>
  </w:style>
  <w:style w:type="character" w:styleId="Strong">
    <w:name w:val="Strong"/>
    <w:basedOn w:val="DefaultParagraphFont"/>
    <w:uiPriority w:val="22"/>
    <w:qFormat/>
    <w:rsid w:val="00FC693F"/>
    <w:rPr>
      <w:b/>
      <w:bCs/>
      <w:color w:val="000000"/>
      <w:sz w:val="24"/>
      <w:szCs w:val="24"/>
    </w:rPr>
  </w:style>
  <w:style w:type="character" w:styleId="Emphasis">
    <w:name w:val="Emphasis"/>
    <w:basedOn w:val="DefaultParagraphFont"/>
    <w:uiPriority w:val="20"/>
    <w:qFormat/>
    <w:rsid w:val="00FC693F"/>
    <w:rPr>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jc w:val="both"/>
    </w:pPr>
    <w:rPr>
      <w:b/>
      <w:bCs/>
      <w:i/>
      <w:iCs/>
      <w:color w:val="000000" w:themeColor="accent1"/>
      <w:sz w:val="24"/>
      <w:szCs w:val="24"/>
    </w:rPr>
  </w:style>
  <w:style w:type="character" w:customStyle="1" w:styleId="IntenseQuoteChar">
    <w:name w:val="Intense Quote Char"/>
    <w:basedOn w:val="DefaultParagraphFont"/>
    <w:link w:val="IntenseQuote"/>
    <w:uiPriority w:val="30"/>
    <w:rsid w:val="00FC693F"/>
    <w:rPr>
      <w:b/>
      <w:bCs/>
      <w:i/>
      <w:iCs/>
      <w:color w:val="000000" w:themeColor="accent1"/>
      <w:sz w:val="24"/>
      <w:szCs w:val="24"/>
    </w:rPr>
  </w:style>
  <w:style w:type="character" w:styleId="SubtleEmphasis">
    <w:name w:val="Subtle Emphasis"/>
    <w:basedOn w:val="DefaultParagraphFont"/>
    <w:uiPriority w:val="19"/>
    <w:qFormat/>
    <w:rsid w:val="00FC693F"/>
    <w:rPr>
      <w:i/>
      <w:iCs/>
      <w:color w:val="000000" w:themeColor="text1" w:themeTint="7F"/>
      <w:sz w:val="24"/>
      <w:szCs w:val="24"/>
    </w:rPr>
  </w:style>
  <w:style w:type="character" w:styleId="IntenseEmphasis">
    <w:name w:val="Intense Emphasis"/>
    <w:basedOn w:val="DefaultParagraphFont"/>
    <w:uiPriority w:val="21"/>
    <w:qFormat/>
    <w:rsid w:val="00FC693F"/>
    <w:rPr>
      <w:b/>
      <w:bCs/>
      <w:i/>
      <w:iCs/>
      <w:color w:val="000000" w:themeColor="accent1"/>
      <w:sz w:val="24"/>
      <w:szCs w:val="24"/>
    </w:rPr>
  </w:style>
  <w:style w:type="character" w:styleId="SubtleReference">
    <w:name w:val="Subtle Reference"/>
    <w:basedOn w:val="DefaultParagraphFont"/>
    <w:uiPriority w:val="31"/>
    <w:qFormat/>
    <w:rsid w:val="00FC693F"/>
    <w:rPr>
      <w:smallCaps/>
      <w:color w:val="000000" w:themeColor="accent2"/>
      <w:sz w:val="24"/>
      <w:szCs w:val="24"/>
      <w:u w:val="single"/>
    </w:rPr>
  </w:style>
  <w:style w:type="character" w:styleId="IntenseReference">
    <w:name w:val="Intense Reference"/>
    <w:basedOn w:val="DefaultParagraphFont"/>
    <w:uiPriority w:val="32"/>
    <w:qFormat/>
    <w:rsid w:val="00FC693F"/>
    <w:rPr>
      <w:b/>
      <w:bCs/>
      <w:smallCaps/>
      <w:color w:val="000000" w:themeColor="accent2"/>
      <w:spacing w:val="5"/>
      <w:sz w:val="24"/>
      <w:szCs w:val="24"/>
      <w:u w:val="single"/>
    </w:rPr>
  </w:style>
  <w:style w:type="character" w:styleId="BookTitle">
    <w:name w:val="Book Title"/>
    <w:basedOn w:val="DefaultParagraphFont"/>
    <w:uiPriority w:val="33"/>
    <w:qFormat/>
    <w:rsid w:val="00FC693F"/>
    <w:rPr>
      <w:b/>
      <w:bCs/>
      <w:smallCaps/>
      <w:color w:val="000000"/>
      <w:spacing w:val="5"/>
      <w:sz w:val="24"/>
      <w:szCs w:val="24"/>
    </w:rPr>
  </w:style>
  <w:style w:type="paragraph" w:styleId="TOCHeading">
    <w:name w:val="TOC Heading"/>
    <w:basedOn w:val="Heading1"/>
    <w:next w:val="Normal"/>
    <w:uiPriority w:val="39"/>
    <w:semiHidden/>
    <w:unhideWhenUsed/>
    <w:qFormat/>
    <w:rsid w:val="00FC693F"/>
    <w:pPr>
      <w:spacing w:line="360" w:lineRule="auto"/>
      <w:jc w:val="both"/>
      <w:outlineLvl w:val="9"/>
    </w:pPr>
    <w:rPr>
      <w:color w:val="000000"/>
      <w:sz w:val="24"/>
      <w:szCs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themeColor="accent2" w:themeShade="BF"/>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themeColor="accent3" w:themeShade="BF"/>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themeColor="accent4" w:themeShade="BF"/>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themeColor="accent5" w:themeShade="BF"/>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themeColor="accent6" w:themeShade="BF"/>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shd w:val="clear" w:color="auto" w:fill="000000" w:themeFill="text1"/>
      </w:tcPr>
    </w:tblStylePr>
    <w:tblStylePr w:type="lastRow">
      <w:pPr>
        <w:spacing w:before="0" w:after="0" w:line="240" w:lineRule="auto"/>
      </w:pPr>
      <w:rPr>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sz w:val="24"/>
        <w:szCs w:val="24"/>
      </w:rPr>
    </w:tblStylePr>
    <w:tblStylePr w:type="lastCol">
      <w:rPr>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shd w:val="clear" w:color="auto" w:fill="4F81BD" w:themeFill="accent1"/>
      </w:tcPr>
    </w:tblStylePr>
    <w:tblStylePr w:type="lastRow">
      <w:pPr>
        <w:spacing w:before="0" w:after="0" w:line="240" w:lineRule="auto"/>
      </w:pPr>
      <w:rPr>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sz w:val="24"/>
        <w:szCs w:val="24"/>
      </w:rPr>
    </w:tblStylePr>
    <w:tblStylePr w:type="lastCol">
      <w:rPr>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shd w:val="clear" w:color="auto" w:fill="C0504D" w:themeFill="accent2"/>
      </w:tcPr>
    </w:tblStylePr>
    <w:tblStylePr w:type="lastRow">
      <w:pPr>
        <w:spacing w:before="0" w:after="0" w:line="240" w:lineRule="auto"/>
      </w:pPr>
      <w:rPr>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sz w:val="24"/>
        <w:szCs w:val="24"/>
      </w:rPr>
    </w:tblStylePr>
    <w:tblStylePr w:type="lastCol">
      <w:rPr>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shd w:val="clear" w:color="auto" w:fill="9BBB59" w:themeFill="accent3"/>
      </w:tcPr>
    </w:tblStylePr>
    <w:tblStylePr w:type="lastRow">
      <w:pPr>
        <w:spacing w:before="0" w:after="0" w:line="240" w:lineRule="auto"/>
      </w:pPr>
      <w:rPr>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sz w:val="24"/>
        <w:szCs w:val="24"/>
      </w:rPr>
    </w:tblStylePr>
    <w:tblStylePr w:type="lastCol">
      <w:rPr>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shd w:val="clear" w:color="auto" w:fill="8064A2" w:themeFill="accent4"/>
      </w:tcPr>
    </w:tblStylePr>
    <w:tblStylePr w:type="lastRow">
      <w:pPr>
        <w:spacing w:before="0" w:after="0" w:line="240" w:lineRule="auto"/>
      </w:pPr>
      <w:rPr>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sz w:val="24"/>
        <w:szCs w:val="24"/>
      </w:rPr>
    </w:tblStylePr>
    <w:tblStylePr w:type="lastCol">
      <w:rPr>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shd w:val="clear" w:color="auto" w:fill="4BACC6" w:themeFill="accent5"/>
      </w:tcPr>
    </w:tblStylePr>
    <w:tblStylePr w:type="lastRow">
      <w:pPr>
        <w:spacing w:before="0" w:after="0" w:line="240" w:lineRule="auto"/>
      </w:pPr>
      <w:rPr>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sz w:val="24"/>
        <w:szCs w:val="24"/>
      </w:rPr>
    </w:tblStylePr>
    <w:tblStylePr w:type="lastCol">
      <w:rPr>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shd w:val="clear" w:color="auto" w:fill="F79646" w:themeFill="accent6"/>
      </w:tcPr>
    </w:tblStylePr>
    <w:tblStylePr w:type="lastRow">
      <w:pPr>
        <w:spacing w:before="0" w:after="0" w:line="240" w:lineRule="auto"/>
      </w:pPr>
      <w:rPr>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sz w:val="24"/>
        <w:szCs w:val="24"/>
      </w:rPr>
    </w:tblStylePr>
    <w:tblStylePr w:type="lastCol">
      <w:rPr>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sz w:val="24"/>
        <w:szCs w:val="24"/>
      </w:rPr>
    </w:tblStylePr>
    <w:tblStylePr w:type="lastCol">
      <w:rPr>
        <w:rFonts w:asciiTheme="majorHAnsi" w:eastAsiaTheme="majorEastAsia" w:hAnsiTheme="majorHAnsi" w:cstheme="majorBidi"/>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sz w:val="24"/>
        <w:szCs w:val="24"/>
      </w:rPr>
    </w:tblStylePr>
    <w:tblStylePr w:type="lastCol">
      <w:rPr>
        <w:rFonts w:asciiTheme="majorHAnsi" w:eastAsiaTheme="majorEastAsia" w:hAnsiTheme="majorHAnsi" w:cstheme="majorBidi"/>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sz w:val="24"/>
        <w:szCs w:val="24"/>
      </w:rPr>
    </w:tblStylePr>
    <w:tblStylePr w:type="lastCol">
      <w:rPr>
        <w:rFonts w:asciiTheme="majorHAnsi" w:eastAsiaTheme="majorEastAsia" w:hAnsiTheme="majorHAnsi" w:cstheme="majorBidi"/>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sz w:val="24"/>
        <w:szCs w:val="24"/>
      </w:rPr>
    </w:tblStylePr>
    <w:tblStylePr w:type="lastCol">
      <w:rPr>
        <w:rFonts w:asciiTheme="majorHAnsi" w:eastAsiaTheme="majorEastAsia" w:hAnsiTheme="majorHAnsi" w:cstheme="majorBidi"/>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sz w:val="24"/>
        <w:szCs w:val="24"/>
      </w:rPr>
    </w:tblStylePr>
    <w:tblStylePr w:type="lastCol">
      <w:rPr>
        <w:rFonts w:asciiTheme="majorHAnsi" w:eastAsiaTheme="majorEastAsia" w:hAnsiTheme="majorHAnsi" w:cstheme="majorBidi"/>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sz w:val="24"/>
        <w:szCs w:val="24"/>
      </w:rPr>
    </w:tblStylePr>
    <w:tblStylePr w:type="lastCol">
      <w:rPr>
        <w:rFonts w:asciiTheme="majorHAnsi" w:eastAsiaTheme="majorEastAsia" w:hAnsiTheme="majorHAnsi" w:cstheme="majorBidi"/>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sz w:val="24"/>
        <w:szCs w:val="24"/>
      </w:rPr>
    </w:tblStylePr>
    <w:tblStylePr w:type="lastCol">
      <w:rPr>
        <w:rFonts w:asciiTheme="majorHAnsi" w:eastAsiaTheme="majorEastAsia" w:hAnsiTheme="majorHAnsi" w:cstheme="majorBidi"/>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themeColor="background1"/>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sz w:val="24"/>
        <w:szCs w:val="24"/>
      </w:rPr>
      <w:tblPr/>
      <w:tcPr>
        <w:tcBorders>
          <w:top w:val="nil"/>
          <w:bottom w:val="single" w:sz="8" w:space="0" w:color="000000" w:themeColor="text1"/>
        </w:tcBorders>
      </w:tcPr>
    </w:tblStylePr>
    <w:tblStylePr w:type="lastRow">
      <w:rPr>
        <w:b/>
        <w:bCs/>
        <w:color w:val="000000" w:themeColor="text2"/>
        <w:sz w:val="24"/>
        <w:szCs w:val="24"/>
      </w:rPr>
      <w:tblPr/>
      <w:tcPr>
        <w:tcBorders>
          <w:top w:val="single" w:sz="8" w:space="0" w:color="000000" w:themeColor="text1"/>
          <w:bottom w:val="single" w:sz="8" w:space="0" w:color="000000" w:themeColor="text1"/>
        </w:tcBorders>
      </w:tcPr>
    </w:tblStylePr>
    <w:tblStylePr w:type="firstCol">
      <w:rPr>
        <w:b/>
        <w:bCs/>
        <w:color w:val="000000"/>
        <w:sz w:val="24"/>
        <w:szCs w:val="24"/>
      </w:rPr>
    </w:tblStylePr>
    <w:tblStylePr w:type="lastCol">
      <w:rPr>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sz w:val="24"/>
        <w:szCs w:val="24"/>
      </w:rPr>
      <w:tblPr/>
      <w:tcPr>
        <w:tcBorders>
          <w:top w:val="nil"/>
          <w:bottom w:val="single" w:sz="8" w:space="0" w:color="4F81BD" w:themeColor="accent1"/>
        </w:tcBorders>
      </w:tcPr>
    </w:tblStylePr>
    <w:tblStylePr w:type="lastRow">
      <w:rPr>
        <w:b/>
        <w:bCs/>
        <w:color w:val="000000" w:themeColor="text2"/>
        <w:sz w:val="24"/>
        <w:szCs w:val="24"/>
      </w:rPr>
      <w:tblPr/>
      <w:tcPr>
        <w:tcBorders>
          <w:top w:val="single" w:sz="8" w:space="0" w:color="4F81BD" w:themeColor="accent1"/>
          <w:bottom w:val="single" w:sz="8" w:space="0" w:color="4F81BD" w:themeColor="accent1"/>
        </w:tcBorders>
      </w:tcPr>
    </w:tblStylePr>
    <w:tblStylePr w:type="firstCol">
      <w:rPr>
        <w:b/>
        <w:bCs/>
        <w:color w:val="000000"/>
        <w:sz w:val="24"/>
        <w:szCs w:val="24"/>
      </w:rPr>
    </w:tblStylePr>
    <w:tblStylePr w:type="lastCol">
      <w:rPr>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sz w:val="24"/>
        <w:szCs w:val="24"/>
      </w:rPr>
      <w:tblPr/>
      <w:tcPr>
        <w:tcBorders>
          <w:top w:val="nil"/>
          <w:bottom w:val="single" w:sz="8" w:space="0" w:color="C0504D" w:themeColor="accent2"/>
        </w:tcBorders>
      </w:tcPr>
    </w:tblStylePr>
    <w:tblStylePr w:type="lastRow">
      <w:rPr>
        <w:b/>
        <w:bCs/>
        <w:color w:val="000000" w:themeColor="text2"/>
        <w:sz w:val="24"/>
        <w:szCs w:val="24"/>
      </w:rPr>
      <w:tblPr/>
      <w:tcPr>
        <w:tcBorders>
          <w:top w:val="single" w:sz="8" w:space="0" w:color="C0504D" w:themeColor="accent2"/>
          <w:bottom w:val="single" w:sz="8" w:space="0" w:color="C0504D" w:themeColor="accent2"/>
        </w:tcBorders>
      </w:tcPr>
    </w:tblStylePr>
    <w:tblStylePr w:type="firstCol">
      <w:rPr>
        <w:b/>
        <w:bCs/>
        <w:color w:val="000000"/>
        <w:sz w:val="24"/>
        <w:szCs w:val="24"/>
      </w:rPr>
    </w:tblStylePr>
    <w:tblStylePr w:type="lastCol">
      <w:rPr>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sz w:val="24"/>
        <w:szCs w:val="24"/>
      </w:rPr>
      <w:tblPr/>
      <w:tcPr>
        <w:tcBorders>
          <w:top w:val="nil"/>
          <w:bottom w:val="single" w:sz="8" w:space="0" w:color="9BBB59" w:themeColor="accent3"/>
        </w:tcBorders>
      </w:tcPr>
    </w:tblStylePr>
    <w:tblStylePr w:type="lastRow">
      <w:rPr>
        <w:b/>
        <w:bCs/>
        <w:color w:val="000000" w:themeColor="text2"/>
        <w:sz w:val="24"/>
        <w:szCs w:val="24"/>
      </w:rPr>
      <w:tblPr/>
      <w:tcPr>
        <w:tcBorders>
          <w:top w:val="single" w:sz="8" w:space="0" w:color="9BBB59" w:themeColor="accent3"/>
          <w:bottom w:val="single" w:sz="8" w:space="0" w:color="9BBB59" w:themeColor="accent3"/>
        </w:tcBorders>
      </w:tcPr>
    </w:tblStylePr>
    <w:tblStylePr w:type="firstCol">
      <w:rPr>
        <w:b/>
        <w:bCs/>
        <w:color w:val="000000"/>
        <w:sz w:val="24"/>
        <w:szCs w:val="24"/>
      </w:rPr>
    </w:tblStylePr>
    <w:tblStylePr w:type="lastCol">
      <w:rPr>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sz w:val="24"/>
        <w:szCs w:val="24"/>
      </w:rPr>
      <w:tblPr/>
      <w:tcPr>
        <w:tcBorders>
          <w:top w:val="nil"/>
          <w:bottom w:val="single" w:sz="8" w:space="0" w:color="8064A2" w:themeColor="accent4"/>
        </w:tcBorders>
      </w:tcPr>
    </w:tblStylePr>
    <w:tblStylePr w:type="lastRow">
      <w:rPr>
        <w:b/>
        <w:bCs/>
        <w:color w:val="000000" w:themeColor="text2"/>
        <w:sz w:val="24"/>
        <w:szCs w:val="24"/>
      </w:rPr>
      <w:tblPr/>
      <w:tcPr>
        <w:tcBorders>
          <w:top w:val="single" w:sz="8" w:space="0" w:color="8064A2" w:themeColor="accent4"/>
          <w:bottom w:val="single" w:sz="8" w:space="0" w:color="8064A2" w:themeColor="accent4"/>
        </w:tcBorders>
      </w:tcPr>
    </w:tblStylePr>
    <w:tblStylePr w:type="firstCol">
      <w:rPr>
        <w:b/>
        <w:bCs/>
        <w:color w:val="000000"/>
        <w:sz w:val="24"/>
        <w:szCs w:val="24"/>
      </w:rPr>
    </w:tblStylePr>
    <w:tblStylePr w:type="lastCol">
      <w:rPr>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sz w:val="24"/>
        <w:szCs w:val="24"/>
      </w:rPr>
      <w:tblPr/>
      <w:tcPr>
        <w:tcBorders>
          <w:top w:val="nil"/>
          <w:bottom w:val="single" w:sz="8" w:space="0" w:color="4BACC6" w:themeColor="accent5"/>
        </w:tcBorders>
      </w:tcPr>
    </w:tblStylePr>
    <w:tblStylePr w:type="lastRow">
      <w:rPr>
        <w:b/>
        <w:bCs/>
        <w:color w:val="000000" w:themeColor="text2"/>
        <w:sz w:val="24"/>
        <w:szCs w:val="24"/>
      </w:rPr>
      <w:tblPr/>
      <w:tcPr>
        <w:tcBorders>
          <w:top w:val="single" w:sz="8" w:space="0" w:color="4BACC6" w:themeColor="accent5"/>
          <w:bottom w:val="single" w:sz="8" w:space="0" w:color="4BACC6" w:themeColor="accent5"/>
        </w:tcBorders>
      </w:tcPr>
    </w:tblStylePr>
    <w:tblStylePr w:type="firstCol">
      <w:rPr>
        <w:b/>
        <w:bCs/>
        <w:color w:val="000000"/>
        <w:sz w:val="24"/>
        <w:szCs w:val="24"/>
      </w:rPr>
    </w:tblStylePr>
    <w:tblStylePr w:type="lastCol">
      <w:rPr>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sz w:val="24"/>
        <w:szCs w:val="24"/>
      </w:rPr>
      <w:tblPr/>
      <w:tcPr>
        <w:tcBorders>
          <w:top w:val="nil"/>
          <w:bottom w:val="single" w:sz="8" w:space="0" w:color="F79646" w:themeColor="accent6"/>
        </w:tcBorders>
      </w:tcPr>
    </w:tblStylePr>
    <w:tblStylePr w:type="lastRow">
      <w:rPr>
        <w:b/>
        <w:bCs/>
        <w:color w:val="000000" w:themeColor="text2"/>
        <w:sz w:val="24"/>
        <w:szCs w:val="24"/>
      </w:rPr>
      <w:tblPr/>
      <w:tcPr>
        <w:tcBorders>
          <w:top w:val="single" w:sz="8" w:space="0" w:color="F79646" w:themeColor="accent6"/>
          <w:bottom w:val="single" w:sz="8" w:space="0" w:color="F79646" w:themeColor="accent6"/>
        </w:tcBorders>
      </w:tcPr>
    </w:tblStylePr>
    <w:tblStylePr w:type="firstCol">
      <w:rPr>
        <w:b/>
        <w:bCs/>
        <w:color w:val="000000"/>
        <w:sz w:val="24"/>
        <w:szCs w:val="24"/>
      </w:rPr>
    </w:tblStylePr>
    <w:tblStylePr w:type="lastCol">
      <w:rPr>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sz w:val="24"/>
        <w:szCs w:val="24"/>
      </w:rPr>
    </w:tblStylePr>
    <w:tblStylePr w:type="lastRow">
      <w:rPr>
        <w:b/>
        <w:bCs/>
        <w:color w:val="000000"/>
        <w:sz w:val="24"/>
        <w:szCs w:val="24"/>
      </w:rPr>
      <w:tblPr/>
      <w:tcPr>
        <w:tcBorders>
          <w:top w:val="single" w:sz="18" w:space="0" w:color="404040" w:themeColor="text1" w:themeTint="BF"/>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sz w:val="24"/>
        <w:szCs w:val="24"/>
      </w:rPr>
    </w:tblStylePr>
    <w:tblStylePr w:type="lastRow">
      <w:rPr>
        <w:b/>
        <w:bCs/>
        <w:color w:val="000000"/>
        <w:sz w:val="24"/>
        <w:szCs w:val="24"/>
      </w:rPr>
      <w:tblPr/>
      <w:tcPr>
        <w:tcBorders>
          <w:top w:val="single" w:sz="18" w:space="0" w:color="7BA0CD" w:themeColor="accent1" w:themeTint="BF"/>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sz w:val="24"/>
        <w:szCs w:val="24"/>
      </w:rPr>
    </w:tblStylePr>
    <w:tblStylePr w:type="lastRow">
      <w:rPr>
        <w:b/>
        <w:bCs/>
        <w:color w:val="000000"/>
        <w:sz w:val="24"/>
        <w:szCs w:val="24"/>
      </w:rPr>
      <w:tblPr/>
      <w:tcPr>
        <w:tcBorders>
          <w:top w:val="single" w:sz="18" w:space="0" w:color="CF7B79" w:themeColor="accent2" w:themeTint="BF"/>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sz w:val="24"/>
        <w:szCs w:val="24"/>
      </w:rPr>
    </w:tblStylePr>
    <w:tblStylePr w:type="lastRow">
      <w:rPr>
        <w:b/>
        <w:bCs/>
        <w:color w:val="000000"/>
        <w:sz w:val="24"/>
        <w:szCs w:val="24"/>
      </w:rPr>
      <w:tblPr/>
      <w:tcPr>
        <w:tcBorders>
          <w:top w:val="single" w:sz="18" w:space="0" w:color="B3CC82" w:themeColor="accent3" w:themeTint="BF"/>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sz w:val="24"/>
        <w:szCs w:val="24"/>
      </w:rPr>
    </w:tblStylePr>
    <w:tblStylePr w:type="lastRow">
      <w:rPr>
        <w:b/>
        <w:bCs/>
        <w:color w:val="000000"/>
        <w:sz w:val="24"/>
        <w:szCs w:val="24"/>
      </w:rPr>
      <w:tblPr/>
      <w:tcPr>
        <w:tcBorders>
          <w:top w:val="single" w:sz="18" w:space="0" w:color="9F8AB9" w:themeColor="accent4" w:themeTint="BF"/>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sz w:val="24"/>
        <w:szCs w:val="24"/>
      </w:rPr>
    </w:tblStylePr>
    <w:tblStylePr w:type="lastRow">
      <w:rPr>
        <w:b/>
        <w:bCs/>
        <w:color w:val="000000"/>
        <w:sz w:val="24"/>
        <w:szCs w:val="24"/>
      </w:rPr>
      <w:tblPr/>
      <w:tcPr>
        <w:tcBorders>
          <w:top w:val="single" w:sz="18" w:space="0" w:color="78C0D4" w:themeColor="accent5" w:themeTint="BF"/>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sz w:val="24"/>
        <w:szCs w:val="24"/>
      </w:rPr>
    </w:tblStylePr>
    <w:tblStylePr w:type="lastRow">
      <w:rPr>
        <w:b/>
        <w:bCs/>
        <w:color w:val="000000"/>
        <w:sz w:val="24"/>
        <w:szCs w:val="24"/>
      </w:rPr>
      <w:tblPr/>
      <w:tcPr>
        <w:tcBorders>
          <w:top w:val="single" w:sz="18" w:space="0" w:color="F9B074" w:themeColor="accent6" w:themeTint="BF"/>
        </w:tcBorders>
      </w:tcPr>
    </w:tblStylePr>
    <w:tblStylePr w:type="firstCol">
      <w:rPr>
        <w:b/>
        <w:bCs/>
        <w:color w:val="000000"/>
        <w:sz w:val="24"/>
        <w:szCs w:val="24"/>
      </w:rPr>
    </w:tblStylePr>
    <w:tblStylePr w:type="lastCol">
      <w:rPr>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sz w:val="24"/>
        <w:szCs w:val="24"/>
      </w:rPr>
      <w:tblPr/>
      <w:tcPr>
        <w:shd w:val="clear" w:color="auto" w:fill="E6E6E6" w:themeFill="text1" w:themeFillTint="19"/>
      </w:tcPr>
    </w:tblStylePr>
    <w:tblStylePr w:type="lastRow">
      <w:rPr>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sz w:val="24"/>
        <w:szCs w:val="24"/>
      </w:rPr>
      <w:tblPr/>
      <w:tcPr>
        <w:shd w:val="clear" w:color="auto" w:fill="EDF2F8" w:themeFill="accent1" w:themeFillTint="19"/>
      </w:tcPr>
    </w:tblStylePr>
    <w:tblStylePr w:type="lastRow">
      <w:rPr>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sz w:val="24"/>
        <w:szCs w:val="24"/>
      </w:rPr>
      <w:tblPr/>
      <w:tcPr>
        <w:shd w:val="clear" w:color="auto" w:fill="F8EDED" w:themeFill="accent2" w:themeFillTint="19"/>
      </w:tcPr>
    </w:tblStylePr>
    <w:tblStylePr w:type="lastRow">
      <w:rPr>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sz w:val="24"/>
        <w:szCs w:val="24"/>
      </w:rPr>
      <w:tblPr/>
      <w:tcPr>
        <w:shd w:val="clear" w:color="auto" w:fill="F5F8EE" w:themeFill="accent3" w:themeFillTint="19"/>
      </w:tcPr>
    </w:tblStylePr>
    <w:tblStylePr w:type="lastRow">
      <w:rPr>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sz w:val="24"/>
        <w:szCs w:val="24"/>
      </w:rPr>
      <w:tblPr/>
      <w:tcPr>
        <w:shd w:val="clear" w:color="auto" w:fill="F2EFF6" w:themeFill="accent4" w:themeFillTint="19"/>
      </w:tcPr>
    </w:tblStylePr>
    <w:tblStylePr w:type="lastRow">
      <w:rPr>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sz w:val="24"/>
        <w:szCs w:val="24"/>
      </w:rPr>
      <w:tblPr/>
      <w:tcPr>
        <w:shd w:val="clear" w:color="auto" w:fill="EDF6F9" w:themeFill="accent5" w:themeFillTint="19"/>
      </w:tcPr>
    </w:tblStylePr>
    <w:tblStylePr w:type="lastRow">
      <w:rPr>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sz w:val="24"/>
        <w:szCs w:val="24"/>
      </w:rPr>
      <w:tblPr/>
      <w:tcPr>
        <w:shd w:val="clear" w:color="auto" w:fill="FEF4EC" w:themeFill="accent6" w:themeFillTint="19"/>
      </w:tcPr>
    </w:tblStylePr>
    <w:tblStylePr w:type="lastRow">
      <w:rPr>
        <w:b/>
        <w:bCs/>
        <w:color w:val="000000" w:themeColor="text1"/>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sz w:val="24"/>
        <w:szCs w:val="24"/>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themeColor="background1"/>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themeColor="background1"/>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themeColor="background1"/>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themeColor="background1"/>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themeColor="background1"/>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themeColor="background1"/>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themeColor="background1"/>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themeColor="background1"/>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themeColor="background1"/>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themeColor="background1"/>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sz w:val="24"/>
        <w:szCs w:val="24"/>
      </w:rPr>
      <w:tblPr/>
      <w:tcPr>
        <w:tcBorders>
          <w:top w:val="single" w:sz="6" w:space="0" w:color="FFFFFF" w:themeColor="background1"/>
        </w:tcBorders>
        <w:shd w:val="clear" w:color="auto" w:fill="000000" w:themeFill="text1" w:themeFillShade="99"/>
      </w:tcPr>
    </w:tblStylePr>
    <w:tblStylePr w:type="firstCol">
      <w:rPr>
        <w:color w:val="000000" w:themeColor="background1"/>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themeColor="background1"/>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sz w:val="24"/>
        <w:szCs w:val="24"/>
      </w:rPr>
    </w:tblStylePr>
    <w:tblStylePr w:type="nwCell">
      <w:rPr>
        <w:color w:val="000000" w:themeColor="text1"/>
        <w:sz w:val="24"/>
        <w:szCs w:val="24"/>
      </w:rPr>
    </w:tblStylePr>
  </w:style>
  <w:style w:type="table" w:styleId="ColorfulShading-Accent1">
    <w:name w:val="Colorful Shading Accent 1"/>
    <w:basedOn w:val="TableNormal"/>
    <w:uiPriority w:val="71"/>
    <w:rsid w:val="00CB0664"/>
    <w:pPr>
      <w:spacing w:after="0" w:line="240" w:lineRule="auto"/>
    </w:pPr>
    <w:rPr>
      <w:color w:val="000000" w:themeColor="text1"/>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sz w:val="24"/>
        <w:szCs w:val="24"/>
      </w:rPr>
      <w:tblPr/>
      <w:tcPr>
        <w:tcBorders>
          <w:top w:val="single" w:sz="6" w:space="0" w:color="FFFFFF" w:themeColor="background1"/>
        </w:tcBorders>
        <w:shd w:val="clear" w:color="auto" w:fill="2C4C74" w:themeFill="accent1" w:themeFillShade="99"/>
      </w:tcPr>
    </w:tblStylePr>
    <w:tblStylePr w:type="firstCol">
      <w:rPr>
        <w:color w:val="000000" w:themeColor="background1"/>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sz w:val="24"/>
        <w:szCs w:val="24"/>
      </w:rPr>
    </w:tblStylePr>
    <w:tblStylePr w:type="nwCell">
      <w:rPr>
        <w:color w:val="000000" w:themeColor="text1"/>
        <w:sz w:val="24"/>
        <w:szCs w:val="24"/>
      </w:rPr>
    </w:tblStylePr>
  </w:style>
  <w:style w:type="table" w:styleId="ColorfulShading-Accent2">
    <w:name w:val="Colorful Shading Accent 2"/>
    <w:basedOn w:val="TableNormal"/>
    <w:uiPriority w:val="71"/>
    <w:rsid w:val="00CB0664"/>
    <w:pPr>
      <w:spacing w:after="0" w:line="240" w:lineRule="auto"/>
    </w:pPr>
    <w:rPr>
      <w:color w:val="000000" w:themeColor="text1"/>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sz w:val="24"/>
        <w:szCs w:val="24"/>
      </w:rPr>
      <w:tblPr/>
      <w:tcPr>
        <w:tcBorders>
          <w:top w:val="single" w:sz="6" w:space="0" w:color="FFFFFF" w:themeColor="background1"/>
        </w:tcBorders>
        <w:shd w:val="clear" w:color="auto" w:fill="772C2A" w:themeFill="accent2" w:themeFillShade="99"/>
      </w:tcPr>
    </w:tblStylePr>
    <w:tblStylePr w:type="firstCol">
      <w:rPr>
        <w:color w:val="000000" w:themeColor="background1"/>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sz w:val="24"/>
        <w:szCs w:val="24"/>
      </w:rPr>
    </w:tblStylePr>
    <w:tblStylePr w:type="nwCell">
      <w:rPr>
        <w:color w:val="000000" w:themeColor="text1"/>
        <w:sz w:val="24"/>
        <w:szCs w:val="24"/>
      </w:rPr>
    </w:tblStylePr>
  </w:style>
  <w:style w:type="table" w:styleId="ColorfulShading-Accent3">
    <w:name w:val="Colorful Shading Accent 3"/>
    <w:basedOn w:val="TableNormal"/>
    <w:uiPriority w:val="71"/>
    <w:rsid w:val="00CB0664"/>
    <w:pPr>
      <w:spacing w:after="0" w:line="240" w:lineRule="auto"/>
    </w:pPr>
    <w:rPr>
      <w:color w:val="000000" w:themeColor="text1"/>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themeColor="background1"/>
        <w:sz w:val="24"/>
        <w:szCs w:val="24"/>
      </w:rPr>
      <w:tblPr/>
      <w:tcPr>
        <w:tcBorders>
          <w:top w:val="single" w:sz="6" w:space="0" w:color="FFFFFF" w:themeColor="background1"/>
        </w:tcBorders>
        <w:shd w:val="clear" w:color="auto" w:fill="5E7530" w:themeFill="accent3" w:themeFillShade="99"/>
      </w:tcPr>
    </w:tblStylePr>
    <w:tblStylePr w:type="firstCol">
      <w:rPr>
        <w:color w:val="000000" w:themeColor="background1"/>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themeColor="background1"/>
        <w:sz w:val="24"/>
        <w:szCs w:val="24"/>
      </w:rPr>
      <w:tblPr/>
      <w:tcPr>
        <w:tcBorders>
          <w:top w:val="single" w:sz="6" w:space="0" w:color="FFFFFF" w:themeColor="background1"/>
        </w:tcBorders>
        <w:shd w:val="clear" w:color="auto" w:fill="4C3B62" w:themeFill="accent4" w:themeFillShade="99"/>
      </w:tcPr>
    </w:tblStylePr>
    <w:tblStylePr w:type="firstCol">
      <w:rPr>
        <w:color w:val="000000" w:themeColor="background1"/>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sz w:val="24"/>
        <w:szCs w:val="24"/>
      </w:rPr>
    </w:tblStylePr>
    <w:tblStylePr w:type="nwCell">
      <w:rPr>
        <w:color w:val="000000" w:themeColor="text1"/>
        <w:sz w:val="24"/>
        <w:szCs w:val="24"/>
      </w:rPr>
    </w:tblStylePr>
  </w:style>
  <w:style w:type="table" w:styleId="ColorfulShading-Accent5">
    <w:name w:val="Colorful Shading Accent 5"/>
    <w:basedOn w:val="TableNormal"/>
    <w:uiPriority w:val="71"/>
    <w:rsid w:val="00CB0664"/>
    <w:pPr>
      <w:spacing w:after="0" w:line="240" w:lineRule="auto"/>
    </w:pPr>
    <w:rPr>
      <w:color w:val="000000" w:themeColor="text1"/>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themeColor="background1"/>
        <w:sz w:val="24"/>
        <w:szCs w:val="24"/>
      </w:rPr>
      <w:tblPr/>
      <w:tcPr>
        <w:tcBorders>
          <w:top w:val="single" w:sz="6" w:space="0" w:color="FFFFFF" w:themeColor="background1"/>
        </w:tcBorders>
        <w:shd w:val="clear" w:color="auto" w:fill="276A7C" w:themeFill="accent5" w:themeFillShade="99"/>
      </w:tcPr>
    </w:tblStylePr>
    <w:tblStylePr w:type="firstCol">
      <w:rPr>
        <w:color w:val="000000" w:themeColor="background1"/>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sz w:val="24"/>
        <w:szCs w:val="24"/>
      </w:rPr>
    </w:tblStylePr>
    <w:tblStylePr w:type="nwCell">
      <w:rPr>
        <w:color w:val="000000" w:themeColor="text1"/>
        <w:sz w:val="24"/>
        <w:szCs w:val="24"/>
      </w:rPr>
    </w:tblStylePr>
  </w:style>
  <w:style w:type="table" w:styleId="ColorfulShading-Accent6">
    <w:name w:val="Colorful Shading Accent 6"/>
    <w:basedOn w:val="TableNormal"/>
    <w:uiPriority w:val="71"/>
    <w:rsid w:val="00CB0664"/>
    <w:pPr>
      <w:spacing w:after="0" w:line="240" w:lineRule="auto"/>
    </w:pPr>
    <w:rPr>
      <w:color w:val="000000" w:themeColor="text1"/>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themeColor="background1"/>
        <w:sz w:val="24"/>
        <w:szCs w:val="24"/>
      </w:rPr>
      <w:tblPr/>
      <w:tcPr>
        <w:tcBorders>
          <w:top w:val="single" w:sz="6" w:space="0" w:color="FFFFFF" w:themeColor="background1"/>
        </w:tcBorders>
        <w:shd w:val="clear" w:color="auto" w:fill="B65608" w:themeFill="accent6" w:themeFillShade="99"/>
      </w:tcPr>
    </w:tblStylePr>
    <w:tblStylePr w:type="firstCol">
      <w:rPr>
        <w:color w:val="000000" w:themeColor="background1"/>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sz w:val="24"/>
        <w:szCs w:val="24"/>
      </w:rPr>
    </w:tblStylePr>
    <w:tblStylePr w:type="nwCell">
      <w:rPr>
        <w:color w:val="000000" w:themeColor="text1"/>
        <w:sz w:val="24"/>
        <w:szCs w:val="24"/>
      </w:rPr>
    </w:tblStylePr>
  </w:style>
  <w:style w:type="table" w:styleId="ColorfulList">
    <w:name w:val="Colorful List"/>
    <w:basedOn w:val="TableNormal"/>
    <w:uiPriority w:val="72"/>
    <w:rsid w:val="00CB0664"/>
    <w:pPr>
      <w:spacing w:after="0" w:line="240" w:lineRule="auto"/>
    </w:pPr>
    <w:rPr>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sz w:val="24"/>
        <w:szCs w:val="24"/>
      </w:rPr>
      <w:tblPr/>
      <w:tcPr>
        <w:tcBorders>
          <w:top w:val="single" w:sz="12" w:space="0" w:color="000000" w:themeColor="text1"/>
        </w:tcBorders>
        <w:shd w:val="clear" w:color="auto" w:fill="FFFFFF" w:themeFill="background1"/>
      </w:tcPr>
    </w:tblStylePr>
    <w:tblStylePr w:type="firstCol">
      <w:rPr>
        <w:b/>
        <w:bCs/>
        <w:color w:val="000000"/>
        <w:sz w:val="24"/>
        <w:szCs w:val="24"/>
      </w:rPr>
    </w:tblStylePr>
    <w:tblStylePr w:type="lastCol">
      <w:rPr>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sz w:val="24"/>
        <w:szCs w:val="24"/>
      </w:rPr>
      <w:tblPr/>
      <w:tcPr>
        <w:tcBorders>
          <w:top w:val="single" w:sz="12" w:space="0" w:color="000000" w:themeColor="text1"/>
        </w:tcBorders>
        <w:shd w:val="clear" w:color="auto" w:fill="FFFFFF" w:themeFill="background1"/>
      </w:tcPr>
    </w:tblStylePr>
    <w:tblStylePr w:type="firstCol">
      <w:rPr>
        <w:b/>
        <w:bCs/>
        <w:color w:val="000000"/>
        <w:sz w:val="24"/>
        <w:szCs w:val="24"/>
      </w:rPr>
    </w:tblStylePr>
    <w:tblStylePr w:type="lastCol">
      <w:rPr>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themeColor="background1"/>
        <w:sz w:val="24"/>
        <w:szCs w:val="24"/>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sz w:val="24"/>
        <w:szCs w:val="24"/>
      </w:rPr>
      <w:tblPr/>
      <w:tcPr>
        <w:tcBorders>
          <w:top w:val="single" w:sz="12" w:space="0" w:color="000000" w:themeColor="text1"/>
        </w:tcBorders>
        <w:shd w:val="clear" w:color="auto" w:fill="FFFFFF" w:themeFill="background1"/>
      </w:tcPr>
    </w:tblStylePr>
    <w:tblStylePr w:type="firstCol">
      <w:rPr>
        <w:b/>
        <w:bCs/>
        <w:color w:val="000000"/>
        <w:sz w:val="24"/>
        <w:szCs w:val="24"/>
      </w:rPr>
    </w:tblStylePr>
    <w:tblStylePr w:type="lastCol">
      <w:rPr>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themeColor="background1"/>
        <w:sz w:val="24"/>
        <w:szCs w:val="24"/>
      </w:rPr>
      <w:tblPr/>
      <w:tcPr>
        <w:tcBorders>
          <w:bottom w:val="single" w:sz="12" w:space="0" w:color="FFFFFF" w:themeColor="background1"/>
        </w:tcBorders>
        <w:shd w:val="clear" w:color="auto" w:fill="664E82" w:themeFill="accent4" w:themeFillShade="CC"/>
      </w:tcPr>
    </w:tblStylePr>
    <w:tblStylePr w:type="lastRow">
      <w:rPr>
        <w:b/>
        <w:bCs/>
        <w:color w:val="000000" w:themeColor="accent4" w:themeShade="CC"/>
        <w:sz w:val="24"/>
        <w:szCs w:val="24"/>
      </w:rPr>
      <w:tblPr/>
      <w:tcPr>
        <w:tcBorders>
          <w:top w:val="single" w:sz="12" w:space="0" w:color="000000" w:themeColor="text1"/>
        </w:tcBorders>
        <w:shd w:val="clear" w:color="auto" w:fill="FFFFFF" w:themeFill="background1"/>
      </w:tcPr>
    </w:tblStylePr>
    <w:tblStylePr w:type="firstCol">
      <w:rPr>
        <w:b/>
        <w:bCs/>
        <w:color w:val="000000"/>
        <w:sz w:val="24"/>
        <w:szCs w:val="24"/>
      </w:rPr>
    </w:tblStylePr>
    <w:tblStylePr w:type="lastCol">
      <w:rPr>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themeColor="background1"/>
        <w:sz w:val="24"/>
        <w:szCs w:val="24"/>
      </w:rPr>
      <w:tblPr/>
      <w:tcPr>
        <w:tcBorders>
          <w:bottom w:val="single" w:sz="12" w:space="0" w:color="FFFFFF" w:themeColor="background1"/>
        </w:tcBorders>
        <w:shd w:val="clear" w:color="auto" w:fill="7E9C40" w:themeFill="accent3" w:themeFillShade="CC"/>
      </w:tcPr>
    </w:tblStylePr>
    <w:tblStylePr w:type="lastRow">
      <w:rPr>
        <w:b/>
        <w:bCs/>
        <w:color w:val="000000" w:themeColor="accent3" w:themeShade="CC"/>
        <w:sz w:val="24"/>
        <w:szCs w:val="24"/>
      </w:rPr>
      <w:tblPr/>
      <w:tcPr>
        <w:tcBorders>
          <w:top w:val="single" w:sz="12" w:space="0" w:color="000000" w:themeColor="text1"/>
        </w:tcBorders>
        <w:shd w:val="clear" w:color="auto" w:fill="FFFFFF" w:themeFill="background1"/>
      </w:tcPr>
    </w:tblStylePr>
    <w:tblStylePr w:type="firstCol">
      <w:rPr>
        <w:b/>
        <w:bCs/>
        <w:color w:val="000000"/>
        <w:sz w:val="24"/>
        <w:szCs w:val="24"/>
      </w:rPr>
    </w:tblStylePr>
    <w:tblStylePr w:type="lastCol">
      <w:rPr>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themeColor="background1"/>
        <w:sz w:val="24"/>
        <w:szCs w:val="24"/>
      </w:rPr>
      <w:tblPr/>
      <w:tcPr>
        <w:tcBorders>
          <w:bottom w:val="single" w:sz="12" w:space="0" w:color="FFFFFF" w:themeColor="background1"/>
        </w:tcBorders>
        <w:shd w:val="clear" w:color="auto" w:fill="F2730A" w:themeFill="accent6" w:themeFillShade="CC"/>
      </w:tcPr>
    </w:tblStylePr>
    <w:tblStylePr w:type="lastRow">
      <w:rPr>
        <w:b/>
        <w:bCs/>
        <w:color w:val="000000" w:themeColor="accent6" w:themeShade="CC"/>
        <w:sz w:val="24"/>
        <w:szCs w:val="24"/>
      </w:rPr>
      <w:tblPr/>
      <w:tcPr>
        <w:tcBorders>
          <w:top w:val="single" w:sz="12" w:space="0" w:color="000000" w:themeColor="text1"/>
        </w:tcBorders>
        <w:shd w:val="clear" w:color="auto" w:fill="FFFFFF" w:themeFill="background1"/>
      </w:tcPr>
    </w:tblStylePr>
    <w:tblStylePr w:type="firstCol">
      <w:rPr>
        <w:b/>
        <w:bCs/>
        <w:color w:val="000000"/>
        <w:sz w:val="24"/>
        <w:szCs w:val="24"/>
      </w:rPr>
    </w:tblStylePr>
    <w:tblStylePr w:type="lastCol">
      <w:rPr>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themeColor="background1"/>
        <w:sz w:val="24"/>
        <w:szCs w:val="24"/>
      </w:rPr>
      <w:tblPr/>
      <w:tcPr>
        <w:tcBorders>
          <w:bottom w:val="single" w:sz="12" w:space="0" w:color="FFFFFF" w:themeColor="background1"/>
        </w:tcBorders>
        <w:shd w:val="clear" w:color="auto" w:fill="348DA5" w:themeFill="accent5" w:themeFillShade="CC"/>
      </w:tcPr>
    </w:tblStylePr>
    <w:tblStylePr w:type="lastRow">
      <w:rPr>
        <w:b/>
        <w:bCs/>
        <w:color w:val="000000" w:themeColor="accent5" w:themeShade="CC"/>
        <w:sz w:val="24"/>
        <w:szCs w:val="24"/>
      </w:rPr>
      <w:tblPr/>
      <w:tcPr>
        <w:tcBorders>
          <w:top w:val="single" w:sz="12" w:space="0" w:color="000000" w:themeColor="text1"/>
        </w:tcBorders>
        <w:shd w:val="clear" w:color="auto" w:fill="FFFFFF" w:themeFill="background1"/>
      </w:tcPr>
    </w:tblStylePr>
    <w:tblStylePr w:type="firstCol">
      <w:rPr>
        <w:b/>
        <w:bCs/>
        <w:color w:val="000000"/>
        <w:sz w:val="24"/>
        <w:szCs w:val="24"/>
      </w:rPr>
    </w:tblStylePr>
    <w:tblStylePr w:type="lastCol">
      <w:rPr>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sz w:val="24"/>
        <w:szCs w:val="24"/>
      </w:rPr>
      <w:tblPr/>
      <w:tcPr>
        <w:shd w:val="clear" w:color="auto" w:fill="999999" w:themeFill="text1" w:themeFillTint="66"/>
      </w:tcPr>
    </w:tblStylePr>
    <w:tblStylePr w:type="lastRow">
      <w:rPr>
        <w:b/>
        <w:bCs/>
        <w:color w:val="000000" w:themeColor="text1"/>
        <w:sz w:val="24"/>
        <w:szCs w:val="24"/>
      </w:rPr>
      <w:tblPr/>
      <w:tcPr>
        <w:shd w:val="clear" w:color="auto" w:fill="999999" w:themeFill="text1" w:themeFillTint="66"/>
      </w:tcPr>
    </w:tblStylePr>
    <w:tblStylePr w:type="firstCol">
      <w:rPr>
        <w:color w:val="000000" w:themeColor="background1"/>
        <w:sz w:val="24"/>
        <w:szCs w:val="24"/>
      </w:rPr>
      <w:tblPr/>
      <w:tcPr>
        <w:shd w:val="clear" w:color="auto" w:fill="000000" w:themeFill="text1" w:themeFillShade="BF"/>
      </w:tcPr>
    </w:tblStylePr>
    <w:tblStylePr w:type="lastCol">
      <w:rPr>
        <w:color w:val="000000" w:themeColor="background1"/>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sz w:val="24"/>
        <w:szCs w:val="24"/>
      </w:rPr>
      <w:tblPr/>
      <w:tcPr>
        <w:shd w:val="clear" w:color="auto" w:fill="B8CCE4" w:themeFill="accent1" w:themeFillTint="66"/>
      </w:tcPr>
    </w:tblStylePr>
    <w:tblStylePr w:type="lastRow">
      <w:rPr>
        <w:b/>
        <w:bCs/>
        <w:color w:val="000000" w:themeColor="text1"/>
        <w:sz w:val="24"/>
        <w:szCs w:val="24"/>
      </w:rPr>
      <w:tblPr/>
      <w:tcPr>
        <w:shd w:val="clear" w:color="auto" w:fill="B8CCE4" w:themeFill="accent1" w:themeFillTint="66"/>
      </w:tcPr>
    </w:tblStylePr>
    <w:tblStylePr w:type="firstCol">
      <w:rPr>
        <w:color w:val="000000" w:themeColor="background1"/>
        <w:sz w:val="24"/>
        <w:szCs w:val="24"/>
      </w:rPr>
      <w:tblPr/>
      <w:tcPr>
        <w:shd w:val="clear" w:color="auto" w:fill="365F91" w:themeFill="accent1" w:themeFillShade="BF"/>
      </w:tcPr>
    </w:tblStylePr>
    <w:tblStylePr w:type="lastCol">
      <w:rPr>
        <w:color w:val="000000" w:themeColor="background1"/>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sz w:val="24"/>
        <w:szCs w:val="24"/>
      </w:rPr>
      <w:tblPr/>
      <w:tcPr>
        <w:shd w:val="clear" w:color="auto" w:fill="E5B8B7" w:themeFill="accent2" w:themeFillTint="66"/>
      </w:tcPr>
    </w:tblStylePr>
    <w:tblStylePr w:type="lastRow">
      <w:rPr>
        <w:b/>
        <w:bCs/>
        <w:color w:val="000000" w:themeColor="text1"/>
        <w:sz w:val="24"/>
        <w:szCs w:val="24"/>
      </w:rPr>
      <w:tblPr/>
      <w:tcPr>
        <w:shd w:val="clear" w:color="auto" w:fill="E5B8B7" w:themeFill="accent2" w:themeFillTint="66"/>
      </w:tcPr>
    </w:tblStylePr>
    <w:tblStylePr w:type="firstCol">
      <w:rPr>
        <w:color w:val="000000" w:themeColor="background1"/>
        <w:sz w:val="24"/>
        <w:szCs w:val="24"/>
      </w:rPr>
      <w:tblPr/>
      <w:tcPr>
        <w:shd w:val="clear" w:color="auto" w:fill="943634" w:themeFill="accent2" w:themeFillShade="BF"/>
      </w:tcPr>
    </w:tblStylePr>
    <w:tblStylePr w:type="lastCol">
      <w:rPr>
        <w:color w:val="000000" w:themeColor="background1"/>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sz w:val="24"/>
        <w:szCs w:val="24"/>
      </w:rPr>
      <w:tblPr/>
      <w:tcPr>
        <w:shd w:val="clear" w:color="auto" w:fill="D6E3BC" w:themeFill="accent3" w:themeFillTint="66"/>
      </w:tcPr>
    </w:tblStylePr>
    <w:tblStylePr w:type="lastRow">
      <w:rPr>
        <w:b/>
        <w:bCs/>
        <w:color w:val="000000" w:themeColor="text1"/>
        <w:sz w:val="24"/>
        <w:szCs w:val="24"/>
      </w:rPr>
      <w:tblPr/>
      <w:tcPr>
        <w:shd w:val="clear" w:color="auto" w:fill="D6E3BC" w:themeFill="accent3" w:themeFillTint="66"/>
      </w:tcPr>
    </w:tblStylePr>
    <w:tblStylePr w:type="firstCol">
      <w:rPr>
        <w:color w:val="000000" w:themeColor="background1"/>
        <w:sz w:val="24"/>
        <w:szCs w:val="24"/>
      </w:rPr>
      <w:tblPr/>
      <w:tcPr>
        <w:shd w:val="clear" w:color="auto" w:fill="76923C" w:themeFill="accent3" w:themeFillShade="BF"/>
      </w:tcPr>
    </w:tblStylePr>
    <w:tblStylePr w:type="lastCol">
      <w:rPr>
        <w:color w:val="000000" w:themeColor="background1"/>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sz w:val="24"/>
        <w:szCs w:val="24"/>
      </w:rPr>
      <w:tblPr/>
      <w:tcPr>
        <w:shd w:val="clear" w:color="auto" w:fill="CCC0D9" w:themeFill="accent4" w:themeFillTint="66"/>
      </w:tcPr>
    </w:tblStylePr>
    <w:tblStylePr w:type="lastRow">
      <w:rPr>
        <w:b/>
        <w:bCs/>
        <w:color w:val="000000" w:themeColor="text1"/>
        <w:sz w:val="24"/>
        <w:szCs w:val="24"/>
      </w:rPr>
      <w:tblPr/>
      <w:tcPr>
        <w:shd w:val="clear" w:color="auto" w:fill="CCC0D9" w:themeFill="accent4" w:themeFillTint="66"/>
      </w:tcPr>
    </w:tblStylePr>
    <w:tblStylePr w:type="firstCol">
      <w:rPr>
        <w:color w:val="000000" w:themeColor="background1"/>
        <w:sz w:val="24"/>
        <w:szCs w:val="24"/>
      </w:rPr>
      <w:tblPr/>
      <w:tcPr>
        <w:shd w:val="clear" w:color="auto" w:fill="5F497A" w:themeFill="accent4" w:themeFillShade="BF"/>
      </w:tcPr>
    </w:tblStylePr>
    <w:tblStylePr w:type="lastCol">
      <w:rPr>
        <w:color w:val="000000" w:themeColor="background1"/>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sz w:val="24"/>
        <w:szCs w:val="24"/>
      </w:rPr>
      <w:tblPr/>
      <w:tcPr>
        <w:shd w:val="clear" w:color="auto" w:fill="B6DDE8" w:themeFill="accent5" w:themeFillTint="66"/>
      </w:tcPr>
    </w:tblStylePr>
    <w:tblStylePr w:type="lastRow">
      <w:rPr>
        <w:b/>
        <w:bCs/>
        <w:color w:val="000000" w:themeColor="text1"/>
        <w:sz w:val="24"/>
        <w:szCs w:val="24"/>
      </w:rPr>
      <w:tblPr/>
      <w:tcPr>
        <w:shd w:val="clear" w:color="auto" w:fill="B6DDE8" w:themeFill="accent5" w:themeFillTint="66"/>
      </w:tcPr>
    </w:tblStylePr>
    <w:tblStylePr w:type="firstCol">
      <w:rPr>
        <w:color w:val="000000" w:themeColor="background1"/>
        <w:sz w:val="24"/>
        <w:szCs w:val="24"/>
      </w:rPr>
      <w:tblPr/>
      <w:tcPr>
        <w:shd w:val="clear" w:color="auto" w:fill="31849B" w:themeFill="accent5" w:themeFillShade="BF"/>
      </w:tcPr>
    </w:tblStylePr>
    <w:tblStylePr w:type="lastCol">
      <w:rPr>
        <w:color w:val="000000" w:themeColor="background1"/>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sz w:val="24"/>
        <w:szCs w:val="24"/>
      </w:rPr>
      <w:tblPr/>
      <w:tcPr>
        <w:shd w:val="clear" w:color="auto" w:fill="FBD4B4" w:themeFill="accent6" w:themeFillTint="66"/>
      </w:tcPr>
    </w:tblStylePr>
    <w:tblStylePr w:type="lastRow">
      <w:rPr>
        <w:b/>
        <w:bCs/>
        <w:color w:val="000000" w:themeColor="text1"/>
        <w:sz w:val="24"/>
        <w:szCs w:val="24"/>
      </w:rPr>
      <w:tblPr/>
      <w:tcPr>
        <w:shd w:val="clear" w:color="auto" w:fill="FBD4B4" w:themeFill="accent6" w:themeFillTint="66"/>
      </w:tcPr>
    </w:tblStylePr>
    <w:tblStylePr w:type="firstCol">
      <w:rPr>
        <w:color w:val="000000" w:themeColor="background1"/>
        <w:sz w:val="24"/>
        <w:szCs w:val="24"/>
      </w:rPr>
      <w:tblPr/>
      <w:tcPr>
        <w:shd w:val="clear" w:color="auto" w:fill="E36C0A" w:themeFill="accent6" w:themeFillShade="BF"/>
      </w:tcPr>
    </w:tblStylePr>
    <w:tblStylePr w:type="lastCol">
      <w:rPr>
        <w:color w:val="000000" w:themeColor="background1"/>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