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Research tables (provided if requested)</w:t>
      </w:r>
    </w:p>
    <w:p>
      <w:r>
        <w:t>Tables consolidated for editorial or reviewer request; the main manuscript reports these values in the text and figures.</w:t>
      </w:r>
    </w:p>
    <w:p>
      <w:r>
        <w:rPr>
          <w:b/>
          <w:sz w:val="22"/>
        </w:rPr>
        <w:t>Table 1. Constructs, evidence layers and claim boundaries.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6"/>
              </w:rPr>
              <w:t>Layer / construct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6"/>
              </w:rPr>
              <w:t>Symbol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6"/>
              </w:rPr>
              <w:t>What it measures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6"/>
              </w:rPr>
              <w:t>Scale / support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6"/>
              </w:rPr>
              <w:t>Supports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6"/>
              </w:rPr>
              <w:t>Boundary (does not support)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Pet-service ecology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P_g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Weighted service intensity, diversity and category exposure (POI / 500 m grid)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1,902 points; 9,049 grids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Service substrate and category mix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Not demand, welfare, sentiment or access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Rule-liminal host venues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H_h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Host propensity under venue type, service exposure, rule proximity and topology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57,994 host candidates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Transition potential in ordinary venues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Candidate status is not confirmed permission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Traceable rule corpus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Official, operator, reported and contextual rule records by source 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132 records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Visible rule geography and source strength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Silence is not interpreted as refusal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Positive rule visibility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R_g+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Source-weighted explicit positive access rules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63 grids (44 primary-source-supported)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Visible rule translation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Not unobserved tolerance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Emergence index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E_g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Composite of service ecology, host opportunity, rule signal and topology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Grid-level (9,049 grids)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Capability preconditions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Not lived experience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Suppression index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U_g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Service-rule gap, rule silence and under-translation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503 frontier grids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Readiness deficit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Not intentional prohibition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Matched contrast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Delta_M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Frontier grids vs matched controls on ecology and morphology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v8 closure (549 vs 198)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Robustness of the contrast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Not a treatment effect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Timing diagnostic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Y_gt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Post-event and lagged-onset grid-year checks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63,343 grid-years (45 treated)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Temporal consistency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Not exogenous causality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Analytical grid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500 m clipped grid; WGS84 / EPSG:32649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9,049 cells; 63,343 grid-years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Spatial diagnostic denominator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6"/>
              </w:rPr>
              <w:t>Grid patterns do not describe individual experience</w:t>
            </w:r>
          </w:p>
        </w:tc>
      </w:tr>
    </w:tbl>
    <w:p/>
    <w:p>
      <w:r>
        <w:rPr>
          <w:b/>
          <w:sz w:val="22"/>
        </w:rPr>
        <w:t>Table 2. Core empirical contrasts and typology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Empirical contrast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Scale / share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Evidence basis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Claim implication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Observable service substrate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1,902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21.0 POIs per 100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High-confidence 2025 pet-service POIs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Pet services are extensive enough to constitute an urban ecology.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Visible explicit-rule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86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1.0% of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113 explicit rule grid-counts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The visible rule layer is far thinner than the service substrate.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Visible positive-rule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0.7% of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84 positive-rule grid-counts; 44 primary-source-supported positive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Positive access is present but sparse and source-dependent.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Emergent capability core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0.5% of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High conversion of service, host and visible rule signals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Clearest observed access-capability preconditions.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Rule-first demonstration zone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0.1% of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Rule signal appears before a broad service ecology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A small exception class prevents a purely market-first explanation.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Suppressed-emergence frontier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503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5.6% of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Service/host opportunity with thin visible rule readiness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Central diagnostic geography, not a causal treatment group.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Mixed or transitional zones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708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7.8% of grids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Intermediate combinations of service, host and rule signals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Conversion is gradual and uneven.</w:t>
            </w:r>
          </w:p>
        </w:tc>
      </w:tr>
    </w:tbl>
    <w:p/>
    <w:p>
      <w:r>
        <w:rPr>
          <w:b/>
          <w:sz w:val="22"/>
        </w:rPr>
        <w:t>Table 3. Rule-source strength.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Source class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Share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Use in claim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A_official_primary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32.6%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Strong public-rule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B_operator_primary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31.1%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Strong operator-rule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C_reported_operator_detail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14.4%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Reported detail; cautious or sensitivity use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E_discovery_or_context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10.6%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Discovery context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D_secondary_industry_media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8.3%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Secondary context or sensitivity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G_venue_identity_only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2.3%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Candidate identity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F_external_context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0.8%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External context</w:t>
            </w:r>
          </w:p>
        </w:tc>
      </w:tr>
    </w:tbl>
    <w:p/>
    <w:p>
      <w:r>
        <w:rPr>
          <w:b/>
          <w:sz w:val="22"/>
        </w:rPr>
        <w:t>Table 4. Robustness, sensitivity and model diagnostics.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Diagnostic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Support / 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Key 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6"/>
              </w:rPr>
              <w:t>Boundary / interpretation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Weight perturbation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1,000 +/-20% perturbations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Mean 545.8 frontier grids (range 458-606); mean Jaccard 0.954 (0.813-0.995)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Weights are diagnostic priors, not behavioural parameters.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Matching balance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8 balance features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Median |SMD| 0.050; max |SMD| 0.278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Matched contrasts are diagnostic, not causal.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Matched contrast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Frontier=549; controls=198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Suppression 0.690 vs 0.464 (+0.226; 95% bootstrap CI 0.217-0.236; permutation p&lt;0.001); rule silence 0.668 vs 0.551 (+0.117; CI 0.079-0.157); any positive-rule ~0 on both sides (p=1.000)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Diagnostic contrast, not a treatment effect.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Event timing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n=63,343; treated grids=45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Log service density post-event -0.107 (HC3 95% CI -0.372 to 0.157; p=0.425); diversity -0.033 (CI -0.238 to 0.173; p=0.754)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Timing association with controls; not definitive causality.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Controlled model diagnostic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n=9,049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Frontier and positive-rule classification is high by construction (built from the same variables); strongest positive features: rule-liminal host intensity, pet-service ecology, rule silence; strongest negative: interior grid cell, positive-rule visibility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Internal-consistency check, not independent validation.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Spatial autocorrelation (Moran)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Grid-id queen adjacency; 70,232 directed links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Frontier I=0.439; emergence I=0.713; suppression I=0.678; all p=0.002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Screen only; not local LISA or hot-spot analysis.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MAUP support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250 m child cells linked to 500 m parents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Frontier and emergent-core parents have mean 250 m child count 4.0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Support check; not a recomputed 250 m/1 km model.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Population exposure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9,049 grids; 503 frontier grids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Mean 2025 100 m raster centroid value: frontier 243.4 vs non-frontier 92.5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Centroid-sampled screen; not area-weighted demographic incidence.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Version continuity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v5 and v5.1 frontier definitions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v5=549; v5.1=503; overlap=502; retained share 91.4%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Conservative sparse-rule repair, not result drift.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Rule-corpus source class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132 source-ledger records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84 official/operator primary records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6"/>
              </w:rPr>
              <w:t>Source strength is explicit rather than hidden.</w:t>
            </w:r>
          </w:p>
        </w:tc>
      </w:tr>
    </w:tbl>
    <w:p/>
    <w:p>
      <w:r>
        <w:rPr>
          <w:b/>
          <w:sz w:val="22"/>
        </w:rPr>
        <w:t>Table S1. Data and code availability and reproducibility.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Restriction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Shareable derived output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6"/>
              </w:rPr>
              <w:t>Submission note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Pet-service POIs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Amap-derived cross-project archive; project harmonised layer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Raw provider/archive restrictions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pet_service_ecology_points_2025_v3.csv; figure source summaries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Derived coordinates/categories are shareable subject to repository policy; raw archive not redistributed.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Host venue candidates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Derived from 2025 POI host-agent aggregation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Candidate interpretation and source licensing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host_venue_rule_agents_2025_v2.csv; rule_liminal_host_candidates_2025_v4.csv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Candidate venues are not confirmed pet-friendly places.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Rule source ledger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Official/operator/reported public sources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URLs and archived evidence need review before public deposit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rule_source_ledger_v1.csv; source-class summaries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Public source metadata can be shared; copyrighted text excerpts must be limited.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Grid/model outputs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Project-derived 500 m grid and model outputs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No raw third-party redistribution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grid_emergence_suppression_indices_500m_2025_v51_sparse_repaired.csv; controlled model summaries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Shareable as derived analytical outputs with code and metadata.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analysis_scripts/ under 06_code_package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Three upstream scripts need licensed raw-derived intermediates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analysis and model scripts; verify_package_inputs.py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6"/>
              </w:rPr>
              <w:t>Scripts auto-resolve package paths; 9/12 analysis scripts run from the included derived data, 3 need restricted raw-derived inputs (documented).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