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B316E" w14:textId="77777777" w:rsidR="00B21806" w:rsidRDefault="00B21806">
      <w:pPr>
        <w:spacing w:after="2400"/>
      </w:pPr>
    </w:p>
    <w:p w14:paraId="39C3FAA4" w14:textId="77777777" w:rsidR="00B21806" w:rsidRDefault="00000000">
      <w:pPr>
        <w:spacing w:after="240"/>
        <w:jc w:val="center"/>
      </w:pPr>
      <w:r>
        <w:rPr>
          <w:b/>
          <w:bCs/>
          <w:sz w:val="40"/>
          <w:szCs w:val="40"/>
        </w:rPr>
        <w:t>ПРАКТИЧЕСКАЯ РАБОТА 1.7</w:t>
      </w:r>
    </w:p>
    <w:p w14:paraId="2E732977" w14:textId="77777777" w:rsidR="00B21806" w:rsidRDefault="00000000">
      <w:pPr>
        <w:spacing w:after="120"/>
        <w:jc w:val="center"/>
      </w:pPr>
      <w:r>
        <w:rPr>
          <w:sz w:val="32"/>
          <w:szCs w:val="32"/>
        </w:rPr>
        <w:t>План внедрения решения по антивирусной защите</w:t>
      </w:r>
    </w:p>
    <w:p w14:paraId="130A8EE7" w14:textId="77777777" w:rsidR="00B21806" w:rsidRDefault="00000000">
      <w:pPr>
        <w:spacing w:after="2000"/>
        <w:jc w:val="center"/>
      </w:pPr>
      <w:r>
        <w:t>План работ и RACI-матрица</w:t>
      </w:r>
    </w:p>
    <w:p w14:paraId="1718F123" w14:textId="77777777" w:rsidR="00B21806" w:rsidRDefault="00000000">
      <w:pPr>
        <w:jc w:val="center"/>
      </w:pPr>
      <w:r>
        <w:t>Исходные данные: один большой офис, ~200 ПК и серверов,</w:t>
      </w:r>
    </w:p>
    <w:p w14:paraId="5F7062EE" w14:textId="1F942766" w:rsidR="00B21806" w:rsidRDefault="00000000" w:rsidP="008D1CBD">
      <w:pPr>
        <w:spacing w:after="2000"/>
        <w:jc w:val="center"/>
      </w:pPr>
      <w:r>
        <w:t>три сегмента сети (офисный, корпоративный, DMZ) за межсетевым экраном</w:t>
      </w:r>
    </w:p>
    <w:p w14:paraId="2DA053E5" w14:textId="77777777" w:rsidR="008D1CBD" w:rsidRDefault="008D1CBD" w:rsidP="008D1CBD">
      <w:pPr>
        <w:spacing w:after="2000"/>
        <w:jc w:val="center"/>
      </w:pPr>
    </w:p>
    <w:p w14:paraId="38F21317" w14:textId="77777777" w:rsidR="00B21806" w:rsidRDefault="00B21806">
      <w:pPr>
        <w:sectPr w:rsidR="00B2180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9D3191F" w14:textId="77777777" w:rsidR="00B21806" w:rsidRDefault="00000000">
      <w:pPr>
        <w:pStyle w:val="1"/>
      </w:pPr>
      <w:r>
        <w:lastRenderedPageBreak/>
        <w:t>1. Исходные данные и общий подход</w:t>
      </w:r>
    </w:p>
    <w:p w14:paraId="727783D7" w14:textId="77777777" w:rsidR="00B21806" w:rsidRDefault="00000000">
      <w:pPr>
        <w:spacing w:after="120" w:line="360" w:lineRule="auto"/>
        <w:ind w:firstLine="709"/>
        <w:jc w:val="both"/>
      </w:pPr>
      <w:r>
        <w:t>Инфраструктура: один большой офис, около 200 ПК и серверов. Сеть разделена на три сегмента — офисный, корпоративный и DMZ, — разграниченные межсетевым экраном. Требуется внедрить централизованную систему антивирусной защиты.</w:t>
      </w:r>
    </w:p>
    <w:p w14:paraId="6E09B72E" w14:textId="77777777" w:rsidR="00B21806" w:rsidRDefault="00000000">
      <w:pPr>
        <w:spacing w:after="120" w:line="360" w:lineRule="auto"/>
        <w:ind w:firstLine="709"/>
        <w:jc w:val="both"/>
      </w:pPr>
      <w:r>
        <w:t xml:space="preserve">Процесс внедрения разбит на семь этапов: инвентаризация инфраструктуры и процессов ИБ, подготовка технического решения, развёртывание и первоначальная настройка, разработка документации, испытания системы, опытная эксплуатация и ввод системы в промышленную эксплуатацию. Составляющие процесса и взаимосвязи между ними представлены на </w:t>
      </w:r>
      <w:proofErr w:type="spellStart"/>
      <w:r>
        <w:t>майнд</w:t>
      </w:r>
      <w:proofErr w:type="spellEnd"/>
      <w:r>
        <w:t xml:space="preserve">-карте (прилагается файлом </w:t>
      </w:r>
      <w:proofErr w:type="spellStart"/>
      <w:r>
        <w:t>FreeMind</w:t>
      </w:r>
      <w:proofErr w:type="spellEnd"/>
      <w:r>
        <w:t xml:space="preserve"> .</w:t>
      </w:r>
      <w:proofErr w:type="spellStart"/>
      <w:r>
        <w:t>mm</w:t>
      </w:r>
      <w:proofErr w:type="spellEnd"/>
      <w:r>
        <w:t xml:space="preserve"> и рисунком ниже).</w:t>
      </w:r>
    </w:p>
    <w:p w14:paraId="05C54518" w14:textId="77777777" w:rsidR="00B2180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76CD849" wp14:editId="15B23001">
            <wp:extent cx="5905500" cy="3848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540D" w14:textId="77777777" w:rsidR="00B21806" w:rsidRDefault="00000000">
      <w:pPr>
        <w:spacing w:before="60" w:after="240"/>
        <w:jc w:val="center"/>
      </w:pPr>
      <w:r>
        <w:rPr>
          <w:i/>
          <w:iCs/>
          <w:sz w:val="24"/>
          <w:szCs w:val="24"/>
        </w:rPr>
        <w:t xml:space="preserve">Рисунок 1 — </w:t>
      </w:r>
      <w:proofErr w:type="spellStart"/>
      <w:r>
        <w:rPr>
          <w:i/>
          <w:iCs/>
          <w:sz w:val="24"/>
          <w:szCs w:val="24"/>
        </w:rPr>
        <w:t>Майнд</w:t>
      </w:r>
      <w:proofErr w:type="spellEnd"/>
      <w:r>
        <w:rPr>
          <w:i/>
          <w:iCs/>
          <w:sz w:val="24"/>
          <w:szCs w:val="24"/>
        </w:rPr>
        <w:t>-карта процесса внедрения антивирусной защиты</w:t>
      </w:r>
    </w:p>
    <w:p w14:paraId="00BD689E" w14:textId="77777777" w:rsidR="00B21806" w:rsidRDefault="00000000">
      <w:pPr>
        <w:pStyle w:val="1"/>
      </w:pPr>
      <w:r>
        <w:t>2. План работ по внедрению</w:t>
      </w:r>
    </w:p>
    <w:p w14:paraId="7D632C78" w14:textId="77777777" w:rsidR="00B21806" w:rsidRDefault="00000000">
      <w:pPr>
        <w:pStyle w:val="2"/>
      </w:pPr>
      <w:r>
        <w:t>Этап 1. Инвентаризация инфраструктуры и процессов ИБ</w:t>
      </w:r>
    </w:p>
    <w:p w14:paraId="60ADE4D7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Зависимости: </w:t>
      </w:r>
      <w:r>
        <w:t>Стартовый этап, зависимостей нет. Блокирует подготовку технического решения.</w:t>
      </w:r>
    </w:p>
    <w:p w14:paraId="0A30EB0B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Составить реестр конечных точек: ~200 ПК и серверов с указанием ОС, версий и ролей.</w:t>
      </w:r>
    </w:p>
    <w:p w14:paraId="11B5BDCB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Построить карту сети: офисный, корпоративный и DMZ-сегменты, правила межсетевого экрана.</w:t>
      </w:r>
    </w:p>
    <w:p w14:paraId="043EE273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Проанализировать текущие средства защиты и существующие процессы ИБ.</w:t>
      </w:r>
    </w:p>
    <w:p w14:paraId="7B82171D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Определить применимые нормативные требования (ФЗ-152, отраслевые требования).</w:t>
      </w:r>
    </w:p>
    <w:p w14:paraId="48BD9C5C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реестр активов, карта сети, перечень требований к системе.</w:t>
      </w:r>
    </w:p>
    <w:p w14:paraId="2D2453C2" w14:textId="77777777" w:rsidR="00B21806" w:rsidRDefault="00000000">
      <w:pPr>
        <w:pStyle w:val="2"/>
      </w:pPr>
      <w:r>
        <w:t>Этап 2. Подготовка технического решения</w:t>
      </w:r>
    </w:p>
    <w:p w14:paraId="65AE0740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Зависит от этапа 1. Закупка лицензий блокирует развёртывание.</w:t>
      </w:r>
    </w:p>
    <w:p w14:paraId="605910EB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Сформулировать требования к функциональности: центральная консоль управления, агенты для всех используемых ОС, работа через межсетевой экран между тремя сегментами, отчётность, интеграция с SIEM.</w:t>
      </w:r>
    </w:p>
    <w:p w14:paraId="53EAEC13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Провести пилотные тесты 2–3 продуктов и выбрать вендора.</w:t>
      </w:r>
    </w:p>
    <w:p w14:paraId="766F7389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Разработать техническое задание и архитектуру решения (сервер управления в корпоративном сегменте).</w:t>
      </w:r>
    </w:p>
    <w:p w14:paraId="2CB0386C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Закупить лицензии на 200+ конечных точек и сервер управления.</w:t>
      </w:r>
    </w:p>
    <w:p w14:paraId="7F713F34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ТЗ, выбранное решение, приобретённые лицензии.</w:t>
      </w:r>
    </w:p>
    <w:p w14:paraId="3692A208" w14:textId="77777777" w:rsidR="00B21806" w:rsidRDefault="00000000">
      <w:pPr>
        <w:pStyle w:val="2"/>
      </w:pPr>
      <w:r>
        <w:t>Этап 3. Развёртывание и первоначальная настройка</w:t>
      </w:r>
    </w:p>
    <w:p w14:paraId="325ED55D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Зависит от этапов 1–2. Настройка правил МЭ блокирует установку агентов в DMZ.</w:t>
      </w:r>
    </w:p>
    <w:p w14:paraId="7B2C1D0F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lastRenderedPageBreak/>
        <w:t>Установить и настроить сервер управления в корпоративном сегменте.</w:t>
      </w:r>
    </w:p>
    <w:p w14:paraId="6663C534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Настроить правила межсетевого экрана для трафика агентов и обновлений антивирусных баз.</w:t>
      </w:r>
    </w:p>
    <w:p w14:paraId="1C91465E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Развернуть агенты последовательно: офисный сегмент → корпоративный сегмент → DMZ.</w:t>
      </w:r>
    </w:p>
    <w:p w14:paraId="0C453BE6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Настроить базовые политики защиты и расписания обновлений.</w:t>
      </w:r>
    </w:p>
    <w:p w14:paraId="57179F6D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работающая инфраструктура антивирусной защиты во всех сегментах.</w:t>
      </w:r>
    </w:p>
    <w:p w14:paraId="404BED44" w14:textId="77777777" w:rsidR="00B21806" w:rsidRDefault="00000000">
      <w:pPr>
        <w:pStyle w:val="2"/>
      </w:pPr>
      <w:r>
        <w:t>Этап 4. Разработка документации</w:t>
      </w:r>
    </w:p>
    <w:p w14:paraId="3BDA2D49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Выполняется параллельно с этапом 3 (не блокирует и не блокируется).</w:t>
      </w:r>
    </w:p>
    <w:p w14:paraId="3C080C5B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Разработать политику антивирусной защиты организации.</w:t>
      </w:r>
    </w:p>
    <w:p w14:paraId="1BCED9CD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Разработать регламенты обновления антивирусных баз и реагирования на инциденты.</w:t>
      </w:r>
    </w:p>
    <w:p w14:paraId="69863FAC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Подготовить инструкции для администраторов и пользователей.</w:t>
      </w:r>
    </w:p>
    <w:p w14:paraId="5E459E25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комплект документации, необходимый для эксплуатации и аудита.</w:t>
      </w:r>
    </w:p>
    <w:p w14:paraId="2FD0EA87" w14:textId="77777777" w:rsidR="00B21806" w:rsidRDefault="00000000">
      <w:pPr>
        <w:pStyle w:val="2"/>
      </w:pPr>
      <w:r>
        <w:t>Этап 5. Испытания системы</w:t>
      </w:r>
    </w:p>
    <w:p w14:paraId="7CC204E5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Зависит от этапа 3. Блокирует опытную эксплуатацию.</w:t>
      </w:r>
    </w:p>
    <w:p w14:paraId="3A42CCD0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Провести функциональные испытания: обнаружение тестового вируса EICAR, карантин, лечение.</w:t>
      </w:r>
    </w:p>
    <w:p w14:paraId="2FB818B6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Проверить централизованное управление: применение политик, сбор статусов, отчётность.</w:t>
      </w:r>
    </w:p>
    <w:p w14:paraId="4498CD17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Выполнить нагрузочные испытания: влияние агента на производительность ПК и серверов.</w:t>
      </w:r>
    </w:p>
    <w:p w14:paraId="3500D66E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lastRenderedPageBreak/>
        <w:t>Результат: протокол испытаний, подтверждающий работоспособность системы.</w:t>
      </w:r>
    </w:p>
    <w:p w14:paraId="7C2F0316" w14:textId="77777777" w:rsidR="00B21806" w:rsidRDefault="00000000">
      <w:pPr>
        <w:pStyle w:val="2"/>
      </w:pPr>
      <w:r>
        <w:t>Этап 6. Опытная эксплуатация</w:t>
      </w:r>
    </w:p>
    <w:p w14:paraId="32966DFC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Зависит от этапа 5.</w:t>
      </w:r>
    </w:p>
    <w:p w14:paraId="5006344A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Запустить пилотную эксплуатацию на группе 20–30 ПК офисного сегмента.</w:t>
      </w:r>
    </w:p>
    <w:p w14:paraId="1910C943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Собрать обратную связь пользователей, проанализировать ложные срабатывания.</w:t>
      </w:r>
    </w:p>
    <w:p w14:paraId="3405C2AB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Скорректировать политики защиты и документацию по итогам пилота.</w:t>
      </w:r>
    </w:p>
    <w:p w14:paraId="5C09DDDB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откорректированные политики, готовность к промышленной эксплуатации.</w:t>
      </w:r>
    </w:p>
    <w:p w14:paraId="0190FC32" w14:textId="77777777" w:rsidR="00B21806" w:rsidRDefault="00000000">
      <w:pPr>
        <w:pStyle w:val="2"/>
      </w:pPr>
      <w:r>
        <w:t>Этап 7. Ввод в промышленную эксплуатацию</w:t>
      </w:r>
    </w:p>
    <w:p w14:paraId="3227B147" w14:textId="77777777" w:rsidR="00B21806" w:rsidRDefault="00000000">
      <w:pPr>
        <w:spacing w:after="120" w:line="360" w:lineRule="auto"/>
        <w:jc w:val="both"/>
      </w:pPr>
      <w:r>
        <w:rPr>
          <w:b/>
          <w:bCs/>
        </w:rPr>
        <w:t xml:space="preserve">Зависимости: </w:t>
      </w:r>
      <w:r>
        <w:t>Зависит от этапа 6. Финальный этап.</w:t>
      </w:r>
    </w:p>
    <w:p w14:paraId="37C8C397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Развернуть защиту на все 200 конечных точек и сегмент DMZ.</w:t>
      </w:r>
    </w:p>
    <w:p w14:paraId="2C04522F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Провести приёмочные испытания, подписать акт ввода в эксплуатацию.</w:t>
      </w:r>
    </w:p>
    <w:p w14:paraId="3CD19A75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t>Передать систему в службу поддержки: регламентный мониторинг и сопровождение.</w:t>
      </w:r>
    </w:p>
    <w:p w14:paraId="501F5BFC" w14:textId="77777777" w:rsidR="00B21806" w:rsidRDefault="00000000">
      <w:pPr>
        <w:spacing w:after="120" w:line="360" w:lineRule="auto"/>
        <w:jc w:val="both"/>
      </w:pPr>
      <w:r>
        <w:rPr>
          <w:i/>
          <w:iCs/>
        </w:rPr>
        <w:t>Результат: система введена в промышленную эксплуатацию.</w:t>
      </w:r>
    </w:p>
    <w:p w14:paraId="5E18B873" w14:textId="77777777" w:rsidR="00B21806" w:rsidRDefault="00B21806">
      <w:pPr>
        <w:sectPr w:rsidR="00B21806"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7568EED0" w14:textId="77777777" w:rsidR="00B21806" w:rsidRDefault="00000000">
      <w:pPr>
        <w:pStyle w:val="1"/>
      </w:pPr>
      <w:r>
        <w:lastRenderedPageBreak/>
        <w:t>3. RACI-матрица процесса внедрения</w:t>
      </w:r>
    </w:p>
    <w:p w14:paraId="559E9600" w14:textId="77777777" w:rsidR="00B21806" w:rsidRDefault="00000000">
      <w:pPr>
        <w:spacing w:after="120" w:line="360" w:lineRule="auto"/>
        <w:ind w:firstLine="709"/>
        <w:jc w:val="both"/>
      </w:pPr>
      <w:r>
        <w:t>Роли: РП — руководитель проекта; РИБ — руководитель отдела ИБ; ИИБ — инженер ИБ; СА — системный администратор; ВЕН — вендор (поставщик/интегратор); ВБП — владельцы бизнес-процессов. Обозначения: R — исполнитель (</w:t>
      </w:r>
      <w:proofErr w:type="spellStart"/>
      <w:r>
        <w:t>responsible</w:t>
      </w:r>
      <w:proofErr w:type="spellEnd"/>
      <w:r>
        <w:t>), A — ответственный за результат (</w:t>
      </w:r>
      <w:proofErr w:type="spellStart"/>
      <w:r>
        <w:t>accountable</w:t>
      </w:r>
      <w:proofErr w:type="spellEnd"/>
      <w:r>
        <w:t>, ровно один на задачу), C — консультант (</w:t>
      </w:r>
      <w:proofErr w:type="spellStart"/>
      <w:r>
        <w:t>consulted</w:t>
      </w:r>
      <w:proofErr w:type="spellEnd"/>
      <w:r>
        <w:t>), I — информируемый (</w:t>
      </w:r>
      <w:proofErr w:type="spellStart"/>
      <w:r>
        <w:t>informed</w:t>
      </w:r>
      <w:proofErr w:type="spellEnd"/>
      <w:r>
        <w:t>).</w:t>
      </w:r>
    </w:p>
    <w:tbl>
      <w:tblPr>
        <w:tblW w:w="13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58"/>
        <w:gridCol w:w="1466"/>
        <w:gridCol w:w="1466"/>
        <w:gridCol w:w="1466"/>
        <w:gridCol w:w="1466"/>
        <w:gridCol w:w="1466"/>
        <w:gridCol w:w="1466"/>
      </w:tblGrid>
      <w:tr w:rsidR="00B21806" w14:paraId="2685E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</w:tcPr>
          <w:p w14:paraId="3FED625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358" w:type="dxa"/>
          </w:tcPr>
          <w:p w14:paraId="10E212AD" w14:textId="77777777" w:rsidR="00B21806" w:rsidRDefault="00000000">
            <w:pPr>
              <w:spacing w:before="30" w:after="30" w:line="264" w:lineRule="auto"/>
            </w:pPr>
            <w:r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1466" w:type="dxa"/>
          </w:tcPr>
          <w:p w14:paraId="4BF3286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РП</w:t>
            </w:r>
          </w:p>
        </w:tc>
        <w:tc>
          <w:tcPr>
            <w:tcW w:w="1466" w:type="dxa"/>
          </w:tcPr>
          <w:p w14:paraId="4A60C73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РИБ</w:t>
            </w:r>
          </w:p>
        </w:tc>
        <w:tc>
          <w:tcPr>
            <w:tcW w:w="1466" w:type="dxa"/>
          </w:tcPr>
          <w:p w14:paraId="7DC64DE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ИИБ</w:t>
            </w:r>
          </w:p>
        </w:tc>
        <w:tc>
          <w:tcPr>
            <w:tcW w:w="1466" w:type="dxa"/>
          </w:tcPr>
          <w:p w14:paraId="3BA6C1F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СА</w:t>
            </w:r>
          </w:p>
        </w:tc>
        <w:tc>
          <w:tcPr>
            <w:tcW w:w="1466" w:type="dxa"/>
          </w:tcPr>
          <w:p w14:paraId="076B620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ВЕН</w:t>
            </w:r>
          </w:p>
        </w:tc>
        <w:tc>
          <w:tcPr>
            <w:tcW w:w="1466" w:type="dxa"/>
          </w:tcPr>
          <w:p w14:paraId="3D9C0C0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ВБП</w:t>
            </w:r>
          </w:p>
        </w:tc>
      </w:tr>
      <w:tr w:rsidR="00B21806" w14:paraId="2476C6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A73539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58" w:type="dxa"/>
          </w:tcPr>
          <w:p w14:paraId="355BC29E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Инвентаризация конечных точек и сегментов сети</w:t>
            </w:r>
          </w:p>
        </w:tc>
        <w:tc>
          <w:tcPr>
            <w:tcW w:w="1466" w:type="dxa"/>
          </w:tcPr>
          <w:p w14:paraId="1C4608B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45C9C5E6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68B9EBD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F993E1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74EEFD65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0F7C092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</w:tr>
      <w:tr w:rsidR="00B21806" w14:paraId="198D49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BB5667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58" w:type="dxa"/>
          </w:tcPr>
          <w:p w14:paraId="79289B59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Анализ процессов ИБ и нормативных требований</w:t>
            </w:r>
          </w:p>
        </w:tc>
        <w:tc>
          <w:tcPr>
            <w:tcW w:w="1466" w:type="dxa"/>
          </w:tcPr>
          <w:p w14:paraId="25DCA77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D12072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57A94B7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14C10E71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4D53C257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215373C6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44FD70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C4B58C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58" w:type="dxa"/>
          </w:tcPr>
          <w:p w14:paraId="519A7B40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Формирование требований к функциональности АВ-системы</w:t>
            </w:r>
          </w:p>
        </w:tc>
        <w:tc>
          <w:tcPr>
            <w:tcW w:w="1466" w:type="dxa"/>
          </w:tcPr>
          <w:p w14:paraId="2E772AB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2CAF11AA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5345766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2ADC50D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611638D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2C90AB04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512F44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9CED35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58" w:type="dxa"/>
          </w:tcPr>
          <w:p w14:paraId="1E8FD22F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Выбор решения и вендора (пилотные тесты)</w:t>
            </w:r>
          </w:p>
        </w:tc>
        <w:tc>
          <w:tcPr>
            <w:tcW w:w="1466" w:type="dxa"/>
          </w:tcPr>
          <w:p w14:paraId="0E7F136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C18A82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18F756B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63C6FBC1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63B5015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20050FA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6F4410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D6055D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58" w:type="dxa"/>
          </w:tcPr>
          <w:p w14:paraId="13C945CA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Разработка ТЗ и архитектуры решения</w:t>
            </w:r>
          </w:p>
        </w:tc>
        <w:tc>
          <w:tcPr>
            <w:tcW w:w="1466" w:type="dxa"/>
          </w:tcPr>
          <w:p w14:paraId="2B870A76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76A90D8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4E7A05B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3A3ACE9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7D147A2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59E26D2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2CBAAD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12FFF1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58" w:type="dxa"/>
          </w:tcPr>
          <w:p w14:paraId="4959731D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Закупка лицензий</w:t>
            </w:r>
          </w:p>
        </w:tc>
        <w:tc>
          <w:tcPr>
            <w:tcW w:w="1466" w:type="dxa"/>
          </w:tcPr>
          <w:p w14:paraId="07A1F901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6BDA4A31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305D27C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00CC8977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41C2513A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56B30459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6EFEE7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097ADE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58" w:type="dxa"/>
          </w:tcPr>
          <w:p w14:paraId="25F66615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Установка и настройка сервера управления</w:t>
            </w:r>
          </w:p>
        </w:tc>
        <w:tc>
          <w:tcPr>
            <w:tcW w:w="1466" w:type="dxa"/>
          </w:tcPr>
          <w:p w14:paraId="78B7093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20E8ADA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195A2467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233434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73A80B86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0CEF7A3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61A75D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40AD24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58" w:type="dxa"/>
          </w:tcPr>
          <w:p w14:paraId="6E31E680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Настройка правил межсетевого экрана</w:t>
            </w:r>
          </w:p>
        </w:tc>
        <w:tc>
          <w:tcPr>
            <w:tcW w:w="1466" w:type="dxa"/>
          </w:tcPr>
          <w:p w14:paraId="0B64AE3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307D502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5279850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AF1E7C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4D550BD7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52B41570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7F8E7F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CC7565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58" w:type="dxa"/>
          </w:tcPr>
          <w:p w14:paraId="36476C7E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Развёртывание агентов по сегментам (офис → корпоративный → DMZ)</w:t>
            </w:r>
          </w:p>
        </w:tc>
        <w:tc>
          <w:tcPr>
            <w:tcW w:w="1466" w:type="dxa"/>
          </w:tcPr>
          <w:p w14:paraId="6D19FC6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18F50B6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0BC4594D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06A2866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240A4C46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A1CD7C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</w:tr>
      <w:tr w:rsidR="00B21806" w14:paraId="54E851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8B2B12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58" w:type="dxa"/>
          </w:tcPr>
          <w:p w14:paraId="1A43E9AF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Настройка политик защиты и расписаний обновлений</w:t>
            </w:r>
          </w:p>
        </w:tc>
        <w:tc>
          <w:tcPr>
            <w:tcW w:w="1466" w:type="dxa"/>
          </w:tcPr>
          <w:p w14:paraId="3A68AC5A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5CA8C10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510101B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2EAB3507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791E10D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1787334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37E03A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F972359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4358" w:type="dxa"/>
          </w:tcPr>
          <w:p w14:paraId="14341388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Разработка документации (политика, регламенты, инструкции)</w:t>
            </w:r>
          </w:p>
        </w:tc>
        <w:tc>
          <w:tcPr>
            <w:tcW w:w="1466" w:type="dxa"/>
          </w:tcPr>
          <w:p w14:paraId="2CDE082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5CEC499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6FCF016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7375184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6E30D8B8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62F6F9F6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07FBB0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034A619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58" w:type="dxa"/>
          </w:tcPr>
          <w:p w14:paraId="6ED4CE7E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Функциональные испытания (EICAR, карантин, отчётность)</w:t>
            </w:r>
          </w:p>
        </w:tc>
        <w:tc>
          <w:tcPr>
            <w:tcW w:w="1466" w:type="dxa"/>
          </w:tcPr>
          <w:p w14:paraId="7502A79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01E33FD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0613FC30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47BE66F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6E805AD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4D2B0F6D" w14:textId="77777777" w:rsidR="00B21806" w:rsidRDefault="00B21806">
            <w:pPr>
              <w:spacing w:before="30" w:after="30" w:line="264" w:lineRule="auto"/>
              <w:jc w:val="center"/>
            </w:pPr>
          </w:p>
        </w:tc>
      </w:tr>
      <w:tr w:rsidR="00B21806" w14:paraId="10A94E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DAFDC0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58" w:type="dxa"/>
          </w:tcPr>
          <w:p w14:paraId="3E998A42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Нагрузочные испытания</w:t>
            </w:r>
          </w:p>
        </w:tc>
        <w:tc>
          <w:tcPr>
            <w:tcW w:w="1466" w:type="dxa"/>
          </w:tcPr>
          <w:p w14:paraId="2359CDE9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473D258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0FD4B91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6ECE023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70380E2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31832EDB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</w:tr>
      <w:tr w:rsidR="00B21806" w14:paraId="179B5D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A4177CD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58" w:type="dxa"/>
          </w:tcPr>
          <w:p w14:paraId="4C9DBF13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Опытная эксплуатация (пилотная группа)</w:t>
            </w:r>
          </w:p>
        </w:tc>
        <w:tc>
          <w:tcPr>
            <w:tcW w:w="1466" w:type="dxa"/>
          </w:tcPr>
          <w:p w14:paraId="5AB8204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64BC397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23F537A4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116444E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4EB41FD8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6F3677B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</w:tr>
      <w:tr w:rsidR="00B21806" w14:paraId="3808F6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E61D64D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58" w:type="dxa"/>
          </w:tcPr>
          <w:p w14:paraId="4A671227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Ввод в промышленную эксплуатацию (все 200 точек и DMZ)</w:t>
            </w:r>
          </w:p>
        </w:tc>
        <w:tc>
          <w:tcPr>
            <w:tcW w:w="1466" w:type="dxa"/>
          </w:tcPr>
          <w:p w14:paraId="6F303543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2778360A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1466" w:type="dxa"/>
          </w:tcPr>
          <w:p w14:paraId="49BDEA49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15D1C565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2B8E631F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107D7548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</w:tr>
      <w:tr w:rsidR="00B21806" w14:paraId="3F2662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AE6EC7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58" w:type="dxa"/>
          </w:tcPr>
          <w:p w14:paraId="180B67E1" w14:textId="77777777" w:rsidR="00B21806" w:rsidRDefault="00000000">
            <w:pPr>
              <w:spacing w:before="30" w:after="30" w:line="264" w:lineRule="auto"/>
            </w:pPr>
            <w:r>
              <w:rPr>
                <w:sz w:val="22"/>
                <w:szCs w:val="22"/>
              </w:rPr>
              <w:t>Приёмка и передача в службу поддержки</w:t>
            </w:r>
          </w:p>
        </w:tc>
        <w:tc>
          <w:tcPr>
            <w:tcW w:w="1466" w:type="dxa"/>
          </w:tcPr>
          <w:p w14:paraId="089CEEDE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0784831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466" w:type="dxa"/>
          </w:tcPr>
          <w:p w14:paraId="01A66F17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1466" w:type="dxa"/>
          </w:tcPr>
          <w:p w14:paraId="69007562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466" w:type="dxa"/>
          </w:tcPr>
          <w:p w14:paraId="51A41B00" w14:textId="77777777" w:rsidR="00B21806" w:rsidRDefault="00B21806">
            <w:pPr>
              <w:spacing w:before="30" w:after="30" w:line="264" w:lineRule="auto"/>
              <w:jc w:val="center"/>
            </w:pPr>
          </w:p>
        </w:tc>
        <w:tc>
          <w:tcPr>
            <w:tcW w:w="1466" w:type="dxa"/>
          </w:tcPr>
          <w:p w14:paraId="1FACB19C" w14:textId="77777777" w:rsidR="00B21806" w:rsidRDefault="00000000">
            <w:pPr>
              <w:spacing w:before="30" w:after="30" w:line="264" w:lineRule="auto"/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</w:tr>
    </w:tbl>
    <w:p w14:paraId="3EA33DE4" w14:textId="77777777" w:rsidR="00B21806" w:rsidRDefault="00000000">
      <w:pPr>
        <w:pStyle w:val="2"/>
      </w:pPr>
      <w:r>
        <w:t>Назначения ролей</w:t>
      </w:r>
    </w:p>
    <w:p w14:paraId="178A2787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t xml:space="preserve">Руководитель проекта (РП): </w:t>
      </w:r>
      <w:r>
        <w:t>ответственный (A) за инвентаризацию, закупку лицензий, развёртывание, испытания и ввод в эксплуатацию; консультируется по вопросам ИБ; информируется о ходе технических работ.</w:t>
      </w:r>
    </w:p>
    <w:p w14:paraId="2A1B1566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t xml:space="preserve">Руководитель отдела ИБ (РИБ): </w:t>
      </w:r>
      <w:r>
        <w:t>ответственный (A) за все решения в области ИБ: требования, выбор решения, ТЗ, правила МЭ, политики, документацию, опытную эксплуатацию и приёмку; информируется об остальных задачах.</w:t>
      </w:r>
    </w:p>
    <w:p w14:paraId="6C10BC19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t xml:space="preserve">Инженер ИБ (ИИБ): </w:t>
      </w:r>
      <w:r>
        <w:t>исполнитель (R) по требованиям, выбору решения, ТЗ, закупке, политикам, документации, функциональным испытаниям и опытной эксплуатации; консультант по развёртыванию.</w:t>
      </w:r>
    </w:p>
    <w:p w14:paraId="590D0750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t xml:space="preserve">Системный администратор (СА): </w:t>
      </w:r>
      <w:r>
        <w:t>исполнитель (R) по инвентаризации, установке сервера управления, настройке МЭ, развёртыванию агентов, испытаниям и вводу в эксплуатацию; консультируется по требованиям и политикам.</w:t>
      </w:r>
    </w:p>
    <w:p w14:paraId="63DE6832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lastRenderedPageBreak/>
        <w:t xml:space="preserve">Вендор (ВЕН): </w:t>
      </w:r>
      <w:r>
        <w:t>консультант (C) по требованиям, выбору решения, ТЗ, закупке, развёртыванию и испытаниям — экспертиза по внедряемому продукту.</w:t>
      </w:r>
    </w:p>
    <w:p w14:paraId="665021B9" w14:textId="77777777" w:rsidR="00B21806" w:rsidRDefault="00000000">
      <w:pPr>
        <w:pStyle w:val="a4"/>
        <w:numPr>
          <w:ilvl w:val="0"/>
          <w:numId w:val="1"/>
        </w:numPr>
        <w:spacing w:after="80" w:line="360" w:lineRule="auto"/>
        <w:jc w:val="both"/>
      </w:pPr>
      <w:r>
        <w:rPr>
          <w:b/>
          <w:bCs/>
        </w:rPr>
        <w:t xml:space="preserve">Владельцы бизнес-процессов (ВБП): </w:t>
      </w:r>
      <w:r>
        <w:t>консультант при инвентаризации и опытной эксплуатации; информируется о развёртывании агентов, испытаниях и вводе в эксплуатацию.</w:t>
      </w:r>
    </w:p>
    <w:p w14:paraId="2B2AB510" w14:textId="77777777" w:rsidR="00B21806" w:rsidRDefault="00000000">
      <w:pPr>
        <w:pStyle w:val="2"/>
      </w:pPr>
      <w:r>
        <w:t>Пояснение о различиях плана работ и RACI-матрицы</w:t>
      </w:r>
    </w:p>
    <w:p w14:paraId="2070EE26" w14:textId="77777777" w:rsidR="00B21806" w:rsidRDefault="00000000">
      <w:pPr>
        <w:spacing w:after="120" w:line="360" w:lineRule="auto"/>
        <w:ind w:firstLine="709"/>
        <w:jc w:val="both"/>
      </w:pPr>
      <w:r>
        <w:t>План работ (раздел 2) построен по семи укрупнённым этапам, ориентированным на результат этапа. RACI-матрица оперирует более детальными задачами (16 задач), потому что ответственность назначается на конкретные действия, а не на фазы проекта: например, этап 2 разбит на четыре задачи (требования, выбор вендора, ТЗ, закупка лицензий), этап 5 — на две (функциональные и нагрузочные испытания). Содержательно план и матрица соответствуют друг другу: для каждой задачи в матрице указан номер этапа плана, к которому она относится. Ни на одну задачу не назначено более одного ответственного (A), и ни один участник не получает более трёх ролей в рамках одной задачи.</w:t>
      </w:r>
    </w:p>
    <w:sectPr w:rsidR="00B21806">
      <w:footerReference w:type="default" r:id="rId9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162CC" w14:textId="77777777" w:rsidR="00216829" w:rsidRDefault="00216829">
      <w:r>
        <w:separator/>
      </w:r>
    </w:p>
  </w:endnote>
  <w:endnote w:type="continuationSeparator" w:id="0">
    <w:p w14:paraId="4365CBF4" w14:textId="77777777" w:rsidR="00216829" w:rsidRDefault="00216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A812" w14:textId="77777777" w:rsidR="00B2180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D1CBD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5E4BF" w14:textId="52990250" w:rsidR="00B2180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D1CBD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F1471" w14:textId="77777777" w:rsidR="00216829" w:rsidRDefault="00216829">
      <w:r>
        <w:separator/>
      </w:r>
    </w:p>
  </w:footnote>
  <w:footnote w:type="continuationSeparator" w:id="0">
    <w:p w14:paraId="6E1DA72F" w14:textId="77777777" w:rsidR="00216829" w:rsidRDefault="00216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6115"/>
    <w:multiLevelType w:val="hybridMultilevel"/>
    <w:tmpl w:val="758A9908"/>
    <w:lvl w:ilvl="0" w:tplc="4954A3A8">
      <w:start w:val="1"/>
      <w:numFmt w:val="bullet"/>
      <w:lvlText w:val="●"/>
      <w:lvlJc w:val="left"/>
      <w:pPr>
        <w:ind w:left="720" w:hanging="360"/>
      </w:pPr>
    </w:lvl>
    <w:lvl w:ilvl="1" w:tplc="12B04468">
      <w:start w:val="1"/>
      <w:numFmt w:val="bullet"/>
      <w:lvlText w:val="○"/>
      <w:lvlJc w:val="left"/>
      <w:pPr>
        <w:ind w:left="1440" w:hanging="360"/>
      </w:pPr>
    </w:lvl>
    <w:lvl w:ilvl="2" w:tplc="C002C254">
      <w:start w:val="1"/>
      <w:numFmt w:val="bullet"/>
      <w:lvlText w:val="■"/>
      <w:lvlJc w:val="left"/>
      <w:pPr>
        <w:ind w:left="2160" w:hanging="360"/>
      </w:pPr>
    </w:lvl>
    <w:lvl w:ilvl="3" w:tplc="B206FC36">
      <w:start w:val="1"/>
      <w:numFmt w:val="bullet"/>
      <w:lvlText w:val="●"/>
      <w:lvlJc w:val="left"/>
      <w:pPr>
        <w:ind w:left="2880" w:hanging="360"/>
      </w:pPr>
    </w:lvl>
    <w:lvl w:ilvl="4" w:tplc="631ED08A">
      <w:start w:val="1"/>
      <w:numFmt w:val="bullet"/>
      <w:lvlText w:val="○"/>
      <w:lvlJc w:val="left"/>
      <w:pPr>
        <w:ind w:left="3600" w:hanging="360"/>
      </w:pPr>
    </w:lvl>
    <w:lvl w:ilvl="5" w:tplc="B46C4AE4">
      <w:start w:val="1"/>
      <w:numFmt w:val="bullet"/>
      <w:lvlText w:val="■"/>
      <w:lvlJc w:val="left"/>
      <w:pPr>
        <w:ind w:left="4320" w:hanging="360"/>
      </w:pPr>
    </w:lvl>
    <w:lvl w:ilvl="6" w:tplc="6CCEB018">
      <w:start w:val="1"/>
      <w:numFmt w:val="bullet"/>
      <w:lvlText w:val="●"/>
      <w:lvlJc w:val="left"/>
      <w:pPr>
        <w:ind w:left="5040" w:hanging="360"/>
      </w:pPr>
    </w:lvl>
    <w:lvl w:ilvl="7" w:tplc="32D6B55A">
      <w:start w:val="1"/>
      <w:numFmt w:val="bullet"/>
      <w:lvlText w:val="●"/>
      <w:lvlJc w:val="left"/>
      <w:pPr>
        <w:ind w:left="5760" w:hanging="360"/>
      </w:pPr>
    </w:lvl>
    <w:lvl w:ilvl="8" w:tplc="CEFC41A4">
      <w:start w:val="1"/>
      <w:numFmt w:val="bullet"/>
      <w:lvlText w:val="●"/>
      <w:lvlJc w:val="left"/>
      <w:pPr>
        <w:ind w:left="6480" w:hanging="360"/>
      </w:pPr>
    </w:lvl>
  </w:abstractNum>
  <w:num w:numId="1" w16cid:durableId="951208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06"/>
    <w:rsid w:val="0000180E"/>
    <w:rsid w:val="00216829"/>
    <w:rsid w:val="008D1CBD"/>
    <w:rsid w:val="00B2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26D54"/>
  <w15:docId w15:val="{D89E809F-4D29-4F1F-9B66-05994005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1089</Words>
  <Characters>6209</Characters>
  <Application>Microsoft Office Word</Application>
  <DocSecurity>0</DocSecurity>
  <Lines>51</Lines>
  <Paragraphs>14</Paragraphs>
  <ScaleCrop>false</ScaleCrop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1.7 — план внедрения антивирусной защиты</dc:title>
  <dc:creator>student</dc:creator>
  <cp:lastModifiedBy>Алексей Жарков</cp:lastModifiedBy>
  <cp:revision>2</cp:revision>
  <dcterms:created xsi:type="dcterms:W3CDTF">2026-09-09T18:55:00Z</dcterms:created>
  <dcterms:modified xsi:type="dcterms:W3CDTF">2026-09-09T19:03:00Z</dcterms:modified>
</cp:coreProperties>
</file>