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0F172A"/>
          <w:sz w:val="44"/>
        </w:rPr>
        <w:t>BharatClap: Final Design Review</w:t>
      </w:r>
    </w:p>
    <w:p>
      <w:pPr>
        <w:spacing w:after="320"/>
      </w:pPr>
      <w:r>
        <w:rPr>
          <w:rFonts w:ascii="Calibri" w:hAnsi="Calibri"/>
          <w:i/>
          <w:color w:val="64748B"/>
          <w:sz w:val="22"/>
        </w:rPr>
        <w:t>Architecture Plan, Codebase Verification &amp; Key Decisions</w:t>
      </w:r>
    </w:p>
    <w:p>
      <w:pPr>
        <w:spacing w:after="240"/>
        <w:pBdr>
          <w:bottom w:val="single" w:sz="12" w:space="1" w:color="CBD5E1"/>
        </w:pBdr>
      </w:pPr>
    </w:p>
    <w:p>
      <w:pPr>
        <w:spacing w:before="160" w:after="80"/>
      </w:pPr>
      <w:r>
        <w:rPr>
          <w:rFonts w:ascii="Calibri" w:hAnsi="Calibri"/>
          <w:b/>
          <w:color w:val="1E3A8A"/>
          <w:sz w:val="26"/>
        </w:rPr>
        <w:t>1. What the Code Report Confirms</w:t>
      </w:r>
    </w:p>
    <w:p>
      <w:pPr>
        <w:pStyle w:val="ListBullet"/>
        <w:spacing w:after="40"/>
      </w:pPr>
      <w:r>
        <w:rPr>
          <w:rFonts w:ascii="Calibri" w:hAnsi="Calibri"/>
          <w:b/>
          <w:color w:val="1E293B"/>
          <w:sz w:val="20"/>
        </w:rPr>
        <w:t xml:space="preserve">Admin Role Separation: </w:t>
      </w:r>
      <w:r>
        <w:rPr>
          <w:rFonts w:ascii="Calibri" w:hAnsi="Calibri"/>
          <w:color w:val="1E293B"/>
          <w:sz w:val="20"/>
        </w:rPr>
        <w:t>Admins exist as role = 'admin' with a separate admin_role, so the plan’s model is right. The uRoleG === 'super_admin' branch in authController.ts is dead code, which is harmless but should be removed.</w:t>
      </w:r>
    </w:p>
    <w:p>
      <w:pPr>
        <w:pStyle w:val="ListBullet"/>
        <w:spacing w:after="40"/>
      </w:pPr>
      <w:r>
        <w:rPr>
          <w:rFonts w:ascii="Calibri" w:hAnsi="Calibri"/>
          <w:b/>
          <w:color w:val="1E293B"/>
          <w:sz w:val="20"/>
        </w:rPr>
        <w:t xml:space="preserve">Soft-Delete Safe Re-Registration: </w:t>
      </w:r>
      <w:r>
        <w:rPr>
          <w:rFonts w:ascii="Calibri" w:hAnsi="Calibri"/>
          <w:color w:val="1E293B"/>
          <w:sz w:val="20"/>
        </w:rPr>
        <w:t>Unique indexes are partial on deleted_at IS NULL, so soft-deleted accounts don’t block re-registration.</w:t>
      </w:r>
    </w:p>
    <w:p>
      <w:pPr>
        <w:pStyle w:val="ListBullet"/>
        <w:spacing w:after="40"/>
      </w:pPr>
      <w:r>
        <w:rPr>
          <w:rFonts w:ascii="Calibri" w:hAnsi="Calibri"/>
          <w:b/>
          <w:color w:val="1E293B"/>
          <w:sz w:val="20"/>
        </w:rPr>
        <w:t xml:space="preserve">Admin Token Isolation: </w:t>
      </w:r>
      <w:r>
        <w:rPr>
          <w:rFonts w:ascii="Calibri" w:hAnsi="Calibri"/>
          <w:color w:val="1E293B"/>
          <w:sz w:val="20"/>
        </w:rPr>
        <w:t>The admin login never issues tokens directly. Tokens come only from the 2FA controller (twoFactorController.ts). Customer and provider logins continue through standard loginUser and verifyOtp paths.</w:t>
      </w:r>
    </w:p>
    <w:p>
      <w:pPr>
        <w:pStyle w:val="ListBullet"/>
        <w:spacing w:after="40"/>
      </w:pPr>
      <w:r>
        <w:rPr>
          <w:rFonts w:ascii="Calibri" w:hAnsi="Calibri"/>
          <w:b/>
          <w:color w:val="1E293B"/>
          <w:sz w:val="20"/>
        </w:rPr>
        <w:t xml:space="preserve">Provider Route Protection: </w:t>
      </w:r>
      <w:r>
        <w:rPr>
          <w:rFonts w:ascii="Calibri" w:hAnsi="Calibri"/>
          <w:color w:val="1E293B"/>
          <w:sz w:val="20"/>
        </w:rPr>
        <w:t>requireRole and the provider route guard are shipped.</w:t>
      </w:r>
    </w:p>
    <w:p>
      <w:pPr>
        <w:spacing w:before="240" w:after="80"/>
      </w:pPr>
      <w:r>
        <w:rPr>
          <w:rFonts w:ascii="Calibri" w:hAnsi="Calibri"/>
          <w:b/>
          <w:color w:val="1E3A8A"/>
          <w:sz w:val="26"/>
        </w:rPr>
        <w:t>2. Corrections to the Earlier Plan</w:t>
      </w:r>
    </w:p>
    <w:p>
      <w:pPr>
        <w:pStyle w:val="ListBullet"/>
        <w:spacing w:after="40"/>
      </w:pPr>
      <w:r>
        <w:rPr>
          <w:rFonts w:ascii="Calibri" w:hAnsi="Calibri"/>
          <w:b/>
          <w:color w:val="1E293B"/>
          <w:sz w:val="20"/>
        </w:rPr>
        <w:t xml:space="preserve">1. Admin 2FA Token Issuance: </w:t>
      </w:r>
      <w:r>
        <w:rPr>
          <w:rFonts w:ascii="Calibri" w:hAnsi="Calibri"/>
          <w:color w:val="1E293B"/>
          <w:sz w:val="20"/>
        </w:rPr>
        <w:t>Admin 2FA token issuance has not been migrated. adminLogin does not use issueSession directly. Replace issueFullTokens in twoFactorController.ts in the same release as the session change, so admin sessions don’t skip session limits, cookie helpers, the fail-closed secure flag, or client-aware token handling (clientOf / bodyToken), and have it set subject_type: 'admin' on the token.</w:t>
      </w:r>
    </w:p>
    <w:p>
      <w:pPr>
        <w:pStyle w:val="ListBullet"/>
        <w:spacing w:after="40"/>
      </w:pPr>
      <w:r>
        <w:rPr>
          <w:rFonts w:ascii="Calibri" w:hAnsi="Calibri"/>
          <w:b/>
          <w:color w:val="1E293B"/>
          <w:sz w:val="20"/>
        </w:rPr>
        <w:t xml:space="preserve">2. Admin Creation Flow: </w:t>
      </w:r>
      <w:r>
        <w:rPr>
          <w:rFonts w:ascii="Calibri" w:hAnsi="Calibri"/>
          <w:color w:val="1E293B"/>
          <w:sz w:val="20"/>
        </w:rPr>
        <w:t>Admin creation doesn’t match the design. adminManagementController takes an initial password and has no 2FA confirmation or super-admin uniqueness. Keep the current endpoint in adminManagementController disabled behind a flag until the invite-link flow exists, so there’s no way to create an admin with a password during the transition.</w:t>
      </w:r>
    </w:p>
    <w:p>
      <w:pPr>
        <w:pStyle w:val="ListBullet"/>
        <w:spacing w:after="40"/>
      </w:pPr>
      <w:r>
        <w:rPr>
          <w:rFonts w:ascii="Calibri" w:hAnsi="Calibri"/>
          <w:b/>
          <w:color w:val="1E293B"/>
          <w:sz w:val="20"/>
        </w:rPr>
        <w:t xml:space="preserve">3. Super-Admin Index &amp; Payout Enforcement: </w:t>
      </w:r>
      <w:r>
        <w:rPr>
          <w:rFonts w:ascii="Calibri" w:hAnsi="Calibri"/>
          <w:color w:val="1E293B"/>
          <w:sz w:val="20"/>
        </w:rPr>
        <w:t>The one_super_admin index belongs on auth.admins, not auth.users. Note: The one_super_admin index and the two-person payout CHECK are both only enforceable once the migrations run. Until then, they are only recommendations.</w:t>
      </w:r>
    </w:p>
    <w:p>
      <w:pPr>
        <w:pStyle w:val="ListBullet"/>
        <w:spacing w:after="40"/>
      </w:pPr>
      <w:r>
        <w:rPr>
          <w:rFonts w:ascii="Calibri" w:hAnsi="Calibri"/>
          <w:b/>
          <w:color w:val="1E293B"/>
          <w:sz w:val="20"/>
        </w:rPr>
        <w:t xml:space="preserve">4. Provider Money Tables: </w:t>
      </w:r>
      <w:r>
        <w:rPr>
          <w:rFonts w:ascii="Calibri" w:hAnsi="Calibri"/>
          <w:color w:val="1E293B"/>
          <w:sz w:val="20"/>
        </w:rPr>
        <w:t>Do not create ledger_entries or payout_requests; build on provider.wallet_transactions and provider.payouts. The codebase already has provider.wallet_transactions, provider.payouts, and provider.provider_settlements. Extend wallet_transactions with the missing entry types (commission, tds, penalty) if they aren’t there, and add the two-person CHECK to provider.payouts (approved_by &lt;&gt; requested_by).</w:t>
      </w:r>
    </w:p>
    <w:p>
      <w:pPr>
        <w:pStyle w:val="ListBullet"/>
        <w:spacing w:after="40"/>
      </w:pPr>
      <w:r>
        <w:rPr>
          <w:rFonts w:ascii="Calibri" w:hAnsi="Calibri"/>
          <w:b/>
          <w:color w:val="1E293B"/>
          <w:sz w:val="20"/>
        </w:rPr>
        <w:t xml:space="preserve">5. Migration Order &amp; Audit Attribution: </w:t>
      </w:r>
      <w:r>
        <w:rPr>
          <w:rFonts w:ascii="Calibri" w:hAnsi="Calibri"/>
          <w:color w:val="1E293B"/>
          <w:sz w:val="20"/>
        </w:rPr>
        <w:t>admin_activity_logs.admin_id is ON DELETE SET NULL. Deleting admin rows from auth.users before repointing that FK will silently erase the admin identity on every audit entry. The required sequence is: (a) Count admin rows and refresh tokens, (b) Create auth.admins with the same UUIDs, (c) Repoint admin_activity_logs.admin_id to auth.admins(id), (d) Verify no admin_id values are null where they shouldn't be, (e) Move admin permissions into auth.admin_permissions, (f) Only then delete the admin rows from auth.users and tighten the CHECK.</w:t>
      </w:r>
    </w:p>
    <w:p>
      <w:pPr>
        <w:pStyle w:val="ListBullet"/>
        <w:spacing w:after="40"/>
      </w:pPr>
      <w:r>
        <w:rPr>
          <w:rFonts w:ascii="Calibri" w:hAnsi="Calibri"/>
          <w:b/>
          <w:color w:val="1E293B"/>
          <w:sz w:val="20"/>
        </w:rPr>
        <w:t xml:space="preserve">6. Provider-Service Admin Middleware: </w:t>
      </w:r>
      <w:r>
        <w:rPr>
          <w:rFonts w:ascii="Calibri" w:hAnsi="Calibri"/>
          <w:color w:val="1E293B"/>
          <w:sz w:val="20"/>
        </w:rPr>
        <w:t>Provider-service’s admin middleware reads the wrong source. Its check on user.role === 'admin' in authMiddleware.ts must switch to checking subject_type: 'admin' before admin tokens are cut over to auth.admins, preventing 403 errors on valid admins.</w:t>
      </w:r>
    </w:p>
    <w:p>
      <w:pPr>
        <w:spacing w:before="240" w:after="120"/>
      </w:pPr>
      <w:r>
        <w:rPr>
          <w:rFonts w:ascii="Calibri" w:hAnsi="Calibri"/>
          <w:b/>
          <w:color w:val="1E3A8A"/>
          <w:sz w:val="26"/>
        </w:rPr>
        <w:t>3. Decisions &amp; Recommendations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576"/>
            <w:shd w:fill="1E3A8A"/>
            <w:tcMar>
              <w:top w:w="80" w:type="dxa"/>
              <w:bottom w:w="80" w:type="dxa"/>
              <w:left w:w="120" w:type="dxa"/>
              <w:right w:w="120" w:type="dxa"/>
            </w:tcMar>
          </w:tcPr>
          <w:p>
            <w:pPr>
              <w:spacing w:before="60" w:after="60"/>
              <w:jc w:val="center"/>
            </w:pPr>
            <w:r/>
            <w:r>
              <w:rPr>
                <w:rFonts w:ascii="Calibri" w:hAnsi="Calibri"/>
                <w:b/>
                <w:color w:val="FFFFFF"/>
                <w:sz w:val="19"/>
              </w:rPr>
              <w:t>#</w:t>
            </w:r>
          </w:p>
        </w:tc>
        <w:tc>
          <w:tcPr>
            <w:tcW w:type="dxa" w:w="2880"/>
            <w:shd w:fill="1E3A8A"/>
            <w:tcMar>
              <w:top w:w="80" w:type="dxa"/>
              <w:bottom w:w="80" w:type="dxa"/>
              <w:left w:w="120" w:type="dxa"/>
              <w:right w:w="120" w:type="dxa"/>
            </w:tcMar>
          </w:tcPr>
          <w:p>
            <w:pPr>
              <w:spacing w:before="60" w:after="60"/>
              <w:jc w:val="left"/>
            </w:pPr>
            <w:r/>
            <w:r>
              <w:rPr>
                <w:rFonts w:ascii="Calibri" w:hAnsi="Calibri"/>
                <w:b/>
                <w:color w:val="FFFFFF"/>
                <w:sz w:val="19"/>
              </w:rPr>
              <w:t>Decision</w:t>
            </w:r>
          </w:p>
        </w:tc>
        <w:tc>
          <w:tcPr>
            <w:tcW w:type="dxa" w:w="6336"/>
            <w:shd w:fill="1E3A8A"/>
            <w:tcMar>
              <w:top w:w="80" w:type="dxa"/>
              <w:bottom w:w="80" w:type="dxa"/>
              <w:left w:w="120" w:type="dxa"/>
              <w:right w:w="120" w:type="dxa"/>
            </w:tcMar>
          </w:tcPr>
          <w:p>
            <w:pPr>
              <w:spacing w:before="60" w:after="60"/>
              <w:jc w:val="left"/>
            </w:pPr>
            <w:r/>
            <w:r>
              <w:rPr>
                <w:rFonts w:ascii="Calibri" w:hAnsi="Calibri"/>
                <w:b/>
                <w:color w:val="FFFFFF"/>
                <w:sz w:val="19"/>
              </w:rPr>
              <w:t>Recommendation</w:t>
            </w:r>
          </w:p>
        </w:tc>
      </w:tr>
      <w:tr>
        <w:trPr>
          <w:cantSplit/>
        </w:trPr>
        <w:tc>
          <w:tcPr>
            <w:tcW w:type="dxa" w:w="576"/>
            <w:shd w:fill="F8FAFC"/>
            <w:tcMar>
              <w:top w:w="80" w:type="dxa"/>
              <w:bottom w:w="80" w:type="dxa"/>
              <w:left w:w="120" w:type="dxa"/>
              <w:right w:w="120" w:type="dxa"/>
            </w:tcMar>
          </w:tcPr>
          <w:p>
            <w:pPr>
              <w:spacing w:before="60" w:after="60"/>
              <w:jc w:val="center"/>
            </w:pPr>
            <w:r/>
            <w:r>
              <w:rPr>
                <w:rFonts w:ascii="Calibri" w:hAnsi="Calibri"/>
                <w:color w:val="1E293B"/>
                <w:sz w:val="19"/>
              </w:rPr>
              <w:t>1</w:t>
            </w:r>
          </w:p>
        </w:tc>
        <w:tc>
          <w:tcPr>
            <w:tcW w:type="dxa" w:w="2880"/>
            <w:shd w:fill="F8FAFC"/>
            <w:tcMar>
              <w:top w:w="80" w:type="dxa"/>
              <w:bottom w:w="80" w:type="dxa"/>
              <w:left w:w="120" w:type="dxa"/>
              <w:right w:w="120" w:type="dxa"/>
            </w:tcMar>
          </w:tcPr>
          <w:p>
            <w:pPr>
              <w:spacing w:before="60" w:after="60"/>
              <w:jc w:val="left"/>
            </w:pPr>
            <w:r/>
            <w:r>
              <w:rPr>
                <w:rFonts w:ascii="Calibri" w:hAnsi="Calibri"/>
                <w:color w:val="1E293B"/>
                <w:sz w:val="19"/>
              </w:rPr>
              <w:t>Pay model</w:t>
            </w:r>
          </w:p>
        </w:tc>
        <w:tc>
          <w:tcPr>
            <w:tcW w:type="dxa" w:w="6336"/>
            <w:shd w:fill="F8FAFC"/>
            <w:tcMar>
              <w:top w:w="80" w:type="dxa"/>
              <w:bottom w:w="80" w:type="dxa"/>
              <w:left w:w="120" w:type="dxa"/>
              <w:right w:w="120" w:type="dxa"/>
            </w:tcMar>
          </w:tcPr>
          <w:p>
            <w:pPr>
              <w:spacing w:before="60" w:after="60"/>
              <w:jc w:val="left"/>
            </w:pPr>
            <w:r/>
            <w:r>
              <w:rPr>
                <w:rFonts w:ascii="Calibri" w:hAnsi="Calibri"/>
                <w:color w:val="1E293B"/>
                <w:sz w:val="19"/>
              </w:rPr>
              <w:t>Commission-only until someone confirms fixed-pay providers exist. Keep payroll out of the provider schema.</w:t>
            </w:r>
          </w:p>
        </w:tc>
      </w:tr>
      <w:tr>
        <w:trPr>
          <w:cantSplit/>
        </w:trPr>
        <w:tc>
          <w:tcPr>
            <w:tcW w:type="dxa" w:w="576"/>
            <w:shd w:fill="FFFFFF"/>
            <w:tcMar>
              <w:top w:w="80" w:type="dxa"/>
              <w:bottom w:w="80" w:type="dxa"/>
              <w:left w:w="120" w:type="dxa"/>
              <w:right w:w="120" w:type="dxa"/>
            </w:tcMar>
          </w:tcPr>
          <w:p>
            <w:pPr>
              <w:spacing w:before="60" w:after="60"/>
              <w:jc w:val="center"/>
            </w:pPr>
            <w:r/>
            <w:r>
              <w:rPr>
                <w:rFonts w:ascii="Calibri" w:hAnsi="Calibri"/>
                <w:color w:val="1E293B"/>
                <w:sz w:val="19"/>
              </w:rPr>
              <w:t>2</w:t>
            </w:r>
          </w:p>
        </w:tc>
        <w:tc>
          <w:tcPr>
            <w:tcW w:type="dxa" w:w="2880"/>
            <w:shd w:fill="FFFFFF"/>
            <w:tcMar>
              <w:top w:w="80" w:type="dxa"/>
              <w:bottom w:w="80" w:type="dxa"/>
              <w:left w:w="120" w:type="dxa"/>
              <w:right w:w="120" w:type="dxa"/>
            </w:tcMar>
          </w:tcPr>
          <w:p>
            <w:pPr>
              <w:spacing w:before="60" w:after="60"/>
              <w:jc w:val="left"/>
            </w:pPr>
            <w:r/>
            <w:r>
              <w:rPr>
                <w:rFonts w:ascii="Calibri" w:hAnsi="Calibri"/>
                <w:color w:val="1E293B"/>
                <w:sz w:val="19"/>
              </w:rPr>
              <w:t>Payment gateway</w:t>
            </w:r>
          </w:p>
        </w:tc>
        <w:tc>
          <w:tcPr>
            <w:tcW w:type="dxa" w:w="6336"/>
            <w:shd w:fill="FFFFFF"/>
            <w:tcMar>
              <w:top w:w="80" w:type="dxa"/>
              <w:bottom w:w="80" w:type="dxa"/>
              <w:left w:w="120" w:type="dxa"/>
              <w:right w:w="120" w:type="dxa"/>
            </w:tcMar>
          </w:tcPr>
          <w:p>
            <w:pPr>
              <w:spacing w:before="60" w:after="60"/>
              <w:jc w:val="left"/>
            </w:pPr>
            <w:r/>
            <w:r>
              <w:rPr>
                <w:rFonts w:ascii="Calibri" w:hAnsi="Calibri"/>
                <w:color w:val="1E293B"/>
                <w:sz w:val="19"/>
              </w:rPr>
              <w:t>Razorpay, since razorpay_contact_id already exists. Confirm, and confirm the payout API you’re using.</w:t>
            </w:r>
          </w:p>
        </w:tc>
      </w:tr>
      <w:tr>
        <w:trPr>
          <w:cantSplit/>
        </w:trPr>
        <w:tc>
          <w:tcPr>
            <w:tcW w:type="dxa" w:w="576"/>
            <w:shd w:fill="F8FAFC"/>
            <w:tcMar>
              <w:top w:w="80" w:type="dxa"/>
              <w:bottom w:w="80" w:type="dxa"/>
              <w:left w:w="120" w:type="dxa"/>
              <w:right w:w="120" w:type="dxa"/>
            </w:tcMar>
          </w:tcPr>
          <w:p>
            <w:pPr>
              <w:spacing w:before="60" w:after="60"/>
              <w:jc w:val="center"/>
            </w:pPr>
            <w:r/>
            <w:r>
              <w:rPr>
                <w:rFonts w:ascii="Calibri" w:hAnsi="Calibri"/>
                <w:color w:val="1E293B"/>
                <w:sz w:val="19"/>
              </w:rPr>
              <w:t>3</w:t>
            </w:r>
          </w:p>
        </w:tc>
        <w:tc>
          <w:tcPr>
            <w:tcW w:type="dxa" w:w="2880"/>
            <w:shd w:fill="F8FAFC"/>
            <w:tcMar>
              <w:top w:w="80" w:type="dxa"/>
              <w:bottom w:w="80" w:type="dxa"/>
              <w:left w:w="120" w:type="dxa"/>
              <w:right w:w="120" w:type="dxa"/>
            </w:tcMar>
          </w:tcPr>
          <w:p>
            <w:pPr>
              <w:spacing w:before="60" w:after="60"/>
              <w:jc w:val="left"/>
            </w:pPr>
            <w:r/>
            <w:r>
              <w:rPr>
                <w:rFonts w:ascii="Calibri" w:hAnsi="Calibri"/>
                <w:color w:val="1E293B"/>
                <w:sz w:val="19"/>
              </w:rPr>
              <w:t>Admin permissions</w:t>
            </w:r>
          </w:p>
        </w:tc>
        <w:tc>
          <w:tcPr>
            <w:tcW w:type="dxa" w:w="6336"/>
            <w:shd w:fill="F8FAFC"/>
            <w:tcMar>
              <w:top w:w="80" w:type="dxa"/>
              <w:bottom w:w="80" w:type="dxa"/>
              <w:left w:w="120" w:type="dxa"/>
              <w:right w:w="120" w:type="dxa"/>
            </w:tcMar>
          </w:tcPr>
          <w:p>
            <w:pPr>
              <w:spacing w:before="60" w:after="60"/>
              <w:jc w:val="left"/>
            </w:pPr>
            <w:r/>
            <w:r>
              <w:rPr>
                <w:rFonts w:ascii="Calibri" w:hAnsi="Calibri"/>
                <w:color w:val="1E293B"/>
                <w:sz w:val="19"/>
              </w:rPr>
              <w:t>Move TEXT[] into auth.admin_permissions. Migrate existing values; don’t re-enter them by hand.</w:t>
            </w:r>
          </w:p>
        </w:tc>
      </w:tr>
      <w:tr>
        <w:trPr>
          <w:cantSplit/>
        </w:trPr>
        <w:tc>
          <w:tcPr>
            <w:tcW w:type="dxa" w:w="576"/>
            <w:shd w:fill="FFFFFF"/>
            <w:tcMar>
              <w:top w:w="80" w:type="dxa"/>
              <w:bottom w:w="80" w:type="dxa"/>
              <w:left w:w="120" w:type="dxa"/>
              <w:right w:w="120" w:type="dxa"/>
            </w:tcMar>
          </w:tcPr>
          <w:p>
            <w:pPr>
              <w:spacing w:before="60" w:after="60"/>
              <w:jc w:val="center"/>
            </w:pPr>
            <w:r/>
            <w:r>
              <w:rPr>
                <w:rFonts w:ascii="Calibri" w:hAnsi="Calibri"/>
                <w:color w:val="1E293B"/>
                <w:sz w:val="19"/>
              </w:rPr>
              <w:t>4</w:t>
            </w:r>
          </w:p>
        </w:tc>
        <w:tc>
          <w:tcPr>
            <w:tcW w:type="dxa" w:w="2880"/>
            <w:shd w:fill="FFFFFF"/>
            <w:tcMar>
              <w:top w:w="80" w:type="dxa"/>
              <w:bottom w:w="80" w:type="dxa"/>
              <w:left w:w="120" w:type="dxa"/>
              <w:right w:w="120" w:type="dxa"/>
            </w:tcMar>
          </w:tcPr>
          <w:p>
            <w:pPr>
              <w:spacing w:before="60" w:after="60"/>
              <w:jc w:val="left"/>
            </w:pPr>
            <w:r/>
            <w:r>
              <w:rPr>
                <w:rFonts w:ascii="Calibri" w:hAnsi="Calibri"/>
                <w:color w:val="1E293B"/>
                <w:sz w:val="19"/>
              </w:rPr>
              <w:t>Dual-role accounts</w:t>
            </w:r>
          </w:p>
        </w:tc>
        <w:tc>
          <w:tcPr>
            <w:tcW w:type="dxa" w:w="6336"/>
            <w:shd w:fill="FFFFFF"/>
            <w:tcMar>
              <w:top w:w="80" w:type="dxa"/>
              <w:bottom w:w="80" w:type="dxa"/>
              <w:left w:w="120" w:type="dxa"/>
              <w:right w:w="120" w:type="dxa"/>
            </w:tcMar>
          </w:tcPr>
          <w:p>
            <w:pPr>
              <w:spacing w:before="60" w:after="60"/>
              <w:jc w:val="left"/>
            </w:pPr>
            <w:r/>
            <w:r>
              <w:rPr>
                <w:rFonts w:ascii="Calibri" w:hAnsi="Calibri"/>
                <w:color w:val="1E293B"/>
                <w:sz w:val="19"/>
              </w:rPr>
              <w:t>No for now. Revisit only if a real account needs both roles.</w:t>
            </w:r>
          </w:p>
        </w:tc>
      </w:tr>
      <w:tr>
        <w:trPr>
          <w:cantSplit/>
        </w:trPr>
        <w:tc>
          <w:tcPr>
            <w:tcW w:type="dxa" w:w="576"/>
            <w:shd w:fill="F8FAFC"/>
            <w:tcMar>
              <w:top w:w="80" w:type="dxa"/>
              <w:bottom w:w="80" w:type="dxa"/>
              <w:left w:w="120" w:type="dxa"/>
              <w:right w:w="120" w:type="dxa"/>
            </w:tcMar>
          </w:tcPr>
          <w:p>
            <w:pPr>
              <w:spacing w:before="60" w:after="60"/>
              <w:jc w:val="center"/>
            </w:pPr>
            <w:r/>
            <w:r>
              <w:rPr>
                <w:rFonts w:ascii="Calibri" w:hAnsi="Calibri"/>
                <w:color w:val="1E293B"/>
                <w:sz w:val="19"/>
              </w:rPr>
              <w:t>5</w:t>
            </w:r>
          </w:p>
        </w:tc>
        <w:tc>
          <w:tcPr>
            <w:tcW w:type="dxa" w:w="2880"/>
            <w:shd w:fill="F8FAFC"/>
            <w:tcMar>
              <w:top w:w="80" w:type="dxa"/>
              <w:bottom w:w="80" w:type="dxa"/>
              <w:left w:w="120" w:type="dxa"/>
              <w:right w:w="120" w:type="dxa"/>
            </w:tcMar>
          </w:tcPr>
          <w:p>
            <w:pPr>
              <w:spacing w:before="60" w:after="60"/>
              <w:jc w:val="left"/>
            </w:pPr>
            <w:r/>
            <w:r>
              <w:rPr>
                <w:rFonts w:ascii="Calibri" w:hAnsi="Calibri"/>
                <w:color w:val="1E293B"/>
                <w:sz w:val="19"/>
              </w:rPr>
              <w:t>Provider on customer page</w:t>
            </w:r>
          </w:p>
        </w:tc>
        <w:tc>
          <w:tcPr>
            <w:tcW w:type="dxa" w:w="6336"/>
            <w:shd w:fill="F8FAFC"/>
            <w:tcMar>
              <w:top w:w="80" w:type="dxa"/>
              <w:bottom w:w="80" w:type="dxa"/>
              <w:left w:w="120" w:type="dxa"/>
              <w:right w:w="120" w:type="dxa"/>
            </w:tcMar>
          </w:tcPr>
          <w:p>
            <w:pPr>
              <w:spacing w:before="60" w:after="60"/>
              <w:jc w:val="left"/>
            </w:pPr>
            <w:r/>
            <w:r>
              <w:rPr>
                <w:rFonts w:ascii="Calibri" w:hAnsi="Calibri"/>
                <w:color w:val="1E293B"/>
                <w:sz w:val="19"/>
              </w:rPr>
              <w:t>Keep the session and redirect to the provider portal. Blocking it would strand legitimate providers who log in from the wrong page.</w:t>
            </w:r>
          </w:p>
        </w:tc>
      </w:tr>
      <w:tr>
        <w:trPr>
          <w:cantSplit/>
        </w:trPr>
        <w:tc>
          <w:tcPr>
            <w:tcW w:type="dxa" w:w="576"/>
            <w:shd w:fill="FFFFFF"/>
            <w:tcMar>
              <w:top w:w="80" w:type="dxa"/>
              <w:bottom w:w="80" w:type="dxa"/>
              <w:left w:w="120" w:type="dxa"/>
              <w:right w:w="120" w:type="dxa"/>
            </w:tcMar>
          </w:tcPr>
          <w:p>
            <w:pPr>
              <w:spacing w:before="60" w:after="60"/>
              <w:jc w:val="center"/>
            </w:pPr>
            <w:r/>
            <w:r>
              <w:rPr>
                <w:rFonts w:ascii="Calibri" w:hAnsi="Calibri"/>
                <w:color w:val="1E293B"/>
                <w:sz w:val="19"/>
              </w:rPr>
              <w:t>6</w:t>
            </w:r>
          </w:p>
        </w:tc>
        <w:tc>
          <w:tcPr>
            <w:tcW w:type="dxa" w:w="2880"/>
            <w:shd w:fill="FFFFFF"/>
            <w:tcMar>
              <w:top w:w="80" w:type="dxa"/>
              <w:bottom w:w="80" w:type="dxa"/>
              <w:left w:w="120" w:type="dxa"/>
              <w:right w:w="120" w:type="dxa"/>
            </w:tcMar>
          </w:tcPr>
          <w:p>
            <w:pPr>
              <w:spacing w:before="60" w:after="60"/>
              <w:jc w:val="left"/>
            </w:pPr>
            <w:r/>
            <w:r>
              <w:rPr>
                <w:rFonts w:ascii="Calibri" w:hAnsi="Calibri"/>
                <w:color w:val="1E293B"/>
                <w:sz w:val="19"/>
              </w:rPr>
              <w:t>Admin count &amp; references</w:t>
            </w:r>
          </w:p>
        </w:tc>
        <w:tc>
          <w:tcPr>
            <w:tcW w:type="dxa" w:w="6336"/>
            <w:shd w:fill="FFFFFF"/>
            <w:tcMar>
              <w:top w:w="80" w:type="dxa"/>
              <w:bottom w:w="80" w:type="dxa"/>
              <w:left w:w="120" w:type="dxa"/>
              <w:right w:w="120" w:type="dxa"/>
            </w:tcMar>
          </w:tcPr>
          <w:p>
            <w:pPr>
              <w:spacing w:before="60" w:after="60"/>
              <w:jc w:val="left"/>
            </w:pPr>
            <w:r/>
            <w:r>
              <w:rPr>
                <w:rFonts w:ascii="Calibri" w:hAnsi="Calibri"/>
                <w:color w:val="1E293B"/>
                <w:sz w:val="19"/>
              </w:rPr>
              <w:t>Run the query. The answer decides whether the migration is a one-day change or needs a maintenance window.</w:t>
            </w:r>
          </w:p>
        </w:tc>
      </w:tr>
    </w:tbl>
    <w:p>
      <w:pPr>
        <w:spacing w:before="240" w:after="80"/>
      </w:pPr>
      <w:r>
        <w:rPr>
          <w:rFonts w:ascii="Calibri" w:hAnsi="Calibri"/>
          <w:b/>
          <w:color w:val="1E3A8A"/>
          <w:sz w:val="26"/>
        </w:rPr>
        <w:t>4. Next Steps</w:t>
      </w:r>
    </w:p>
    <w:p>
      <w:pPr>
        <w:pStyle w:val="ListBullet"/>
        <w:spacing w:after="40"/>
      </w:pPr>
      <w:r>
        <w:rPr>
          <w:rFonts w:ascii="Calibri" w:hAnsi="Calibri"/>
          <w:b/>
          <w:color w:val="1E293B"/>
          <w:sz w:val="20"/>
        </w:rPr>
        <w:t xml:space="preserve">Step 1: </w:t>
      </w:r>
      <w:r>
        <w:rPr>
          <w:rFonts w:ascii="Calibri" w:hAnsi="Calibri"/>
          <w:color w:val="1E293B"/>
          <w:sz w:val="20"/>
        </w:rPr>
        <w:t>Run the count queries and paste the results with the wallet_transactions and provider.payouts column definitions.</w:t>
      </w:r>
    </w:p>
    <w:p>
      <w:pPr>
        <w:pStyle w:val="ListBullet"/>
        <w:spacing w:after="40"/>
      </w:pPr>
      <w:r>
        <w:rPr>
          <w:rFonts w:ascii="Calibri" w:hAnsi="Calibri"/>
          <w:b/>
          <w:color w:val="1E293B"/>
          <w:sz w:val="20"/>
        </w:rPr>
        <w:t xml:space="preserve">Step 2: </w:t>
      </w:r>
      <w:r>
        <w:rPr>
          <w:rFonts w:ascii="Calibri" w:hAnsi="Calibri"/>
          <w:color w:val="1E293B"/>
          <w:sz w:val="20"/>
        </w:rPr>
        <w:t>Send twoFactorController.ts issueFullTokens so the replacement can be written.</w:t>
      </w:r>
    </w:p>
    <w:p>
      <w:pPr>
        <w:pStyle w:val="ListBullet"/>
        <w:spacing w:after="40"/>
      </w:pPr>
      <w:r>
        <w:rPr>
          <w:rFonts w:ascii="Calibri" w:hAnsi="Calibri"/>
          <w:b/>
          <w:color w:val="1E293B"/>
          <w:sz w:val="20"/>
        </w:rPr>
        <w:t xml:space="preserve">Step 3: </w:t>
      </w:r>
      <w:r>
        <w:rPr>
          <w:rFonts w:ascii="Calibri" w:hAnsi="Calibri"/>
          <w:color w:val="1E293B"/>
          <w:sz w:val="20"/>
        </w:rPr>
        <w:t>Answer decisions 1 and 3. The rest can follow the recommendations above unless you disagree.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