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6C70B880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системы: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77777777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3DF474B1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 xml:space="preserve">, а также управлять персоналом и инвентарем. Основная цель системы - сделать работу кинотеатра более </w:t>
      </w:r>
      <w:r w:rsidRPr="0040764D">
        <w:rPr>
          <w:sz w:val="28"/>
          <w:szCs w:val="28"/>
        </w:rPr>
        <w:lastRenderedPageBreak/>
        <w:t>эффективной, улучшить обслуживание посетителей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3E95E23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proofErr w:type="spellStart"/>
      <w:r w:rsidRPr="00A87DD6">
        <w:rPr>
          <w:sz w:val="28"/>
          <w:szCs w:val="28"/>
        </w:rPr>
        <w:t>КиноМастер</w:t>
      </w:r>
      <w:proofErr w:type="spellEnd"/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0B6DE4">
      <w:pPr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</w:t>
      </w:r>
      <w:r>
        <w:rPr>
          <w:sz w:val="28"/>
          <w:szCs w:val="28"/>
        </w:rPr>
        <w:t xml:space="preserve"> кинотеатр «Бум-Бом»</w:t>
      </w:r>
      <w:r>
        <w:rPr>
          <w:sz w:val="28"/>
          <w:szCs w:val="28"/>
        </w:rPr>
        <w:t xml:space="preserve">. Основной деятельностью является </w:t>
      </w:r>
      <w:r>
        <w:rPr>
          <w:sz w:val="28"/>
          <w:szCs w:val="28"/>
        </w:rPr>
        <w:t>показ кино</w:t>
      </w:r>
      <w:r>
        <w:rPr>
          <w:sz w:val="28"/>
          <w:szCs w:val="28"/>
        </w:rPr>
        <w:t>.</w:t>
      </w:r>
    </w:p>
    <w:p w14:paraId="7F6ADC1E" w14:textId="78262C12" w:rsidR="00F055D3" w:rsidRPr="00F055D3" w:rsidRDefault="00F055D3" w:rsidP="00F055D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</w:p>
    <w:p w14:paraId="75EA4D94" w14:textId="77777777" w:rsidR="007826C8" w:rsidRPr="007826C8" w:rsidRDefault="007826C8" w:rsidP="007826C8">
      <w:pPr>
        <w:pStyle w:val="a5"/>
        <w:spacing w:before="30" w:after="160" w:line="256" w:lineRule="auto"/>
        <w:ind w:left="216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B6DE4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6A287A"/>
    <w:rsid w:val="00741C06"/>
    <w:rsid w:val="007826C8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87DD6"/>
    <w:rsid w:val="00A96F82"/>
    <w:rsid w:val="00AA1AF7"/>
    <w:rsid w:val="00AA7E8C"/>
    <w:rsid w:val="00B33889"/>
    <w:rsid w:val="00B50DE8"/>
    <w:rsid w:val="00BE38FB"/>
    <w:rsid w:val="00BE67AA"/>
    <w:rsid w:val="00C06420"/>
    <w:rsid w:val="00CB5E7A"/>
    <w:rsid w:val="00CC28C1"/>
    <w:rsid w:val="00CD6091"/>
    <w:rsid w:val="00D03CD9"/>
    <w:rsid w:val="00D26958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30</cp:revision>
  <cp:lastPrinted>2022-12-07T06:44:00Z</cp:lastPrinted>
  <dcterms:created xsi:type="dcterms:W3CDTF">2024-05-06T09:51:00Z</dcterms:created>
  <dcterms:modified xsi:type="dcterms:W3CDTF">2024-05-15T13:32:00Z</dcterms:modified>
</cp:coreProperties>
</file>