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77777777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3DF474B1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3E95E23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proofErr w:type="spellStart"/>
      <w:r w:rsidRPr="00A87DD6">
        <w:rPr>
          <w:sz w:val="28"/>
          <w:szCs w:val="28"/>
        </w:rPr>
        <w:t>КиноМастер</w:t>
      </w:r>
      <w:proofErr w:type="spellEnd"/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7F6ADC1E" w14:textId="78262C12" w:rsidR="00F055D3" w:rsidRPr="00F055D3" w:rsidRDefault="00F055D3" w:rsidP="00F055D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</w:p>
    <w:p w14:paraId="75EA4D94" w14:textId="77777777" w:rsidR="007826C8" w:rsidRPr="007826C8" w:rsidRDefault="007826C8" w:rsidP="007826C8">
      <w:pPr>
        <w:pStyle w:val="a5"/>
        <w:spacing w:before="30" w:after="160" w:line="256" w:lineRule="auto"/>
        <w:ind w:left="216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6A287A"/>
    <w:rsid w:val="00741C06"/>
    <w:rsid w:val="007826C8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87DD6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29</cp:revision>
  <cp:lastPrinted>2022-12-07T06:44:00Z</cp:lastPrinted>
  <dcterms:created xsi:type="dcterms:W3CDTF">2024-05-06T09:51:00Z</dcterms:created>
  <dcterms:modified xsi:type="dcterms:W3CDTF">2024-05-15T13:29:00Z</dcterms:modified>
</cp:coreProperties>
</file>