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A4BF" w14:textId="77777777" w:rsidR="003E7FD1" w:rsidRDefault="003E7FD1" w:rsidP="003E7FD1">
      <w:pPr>
        <w:pStyle w:val="a4"/>
        <w:spacing w:before="30" w:line="360" w:lineRule="auto"/>
        <w:ind w:left="170" w:right="57"/>
        <w:jc w:val="center"/>
        <w:rPr>
          <w:b/>
          <w:bCs/>
          <w:sz w:val="28"/>
          <w:szCs w:val="28"/>
          <w:lang w:eastAsia="en-US" w:bidi="ar-SA"/>
        </w:rPr>
      </w:pPr>
      <w:bookmarkStart w:id="0" w:name="_Hlk157026248"/>
      <w:bookmarkEnd w:id="0"/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31D516D1" w14:textId="77777777" w:rsidR="003E7FD1" w:rsidRDefault="003E7FD1" w:rsidP="003E7FD1">
      <w:pPr>
        <w:pStyle w:val="a4"/>
        <w:spacing w:before="30"/>
        <w:ind w:left="170" w:right="57"/>
        <w:rPr>
          <w:sz w:val="28"/>
          <w:szCs w:val="28"/>
        </w:rPr>
      </w:pPr>
    </w:p>
    <w:p w14:paraId="56D92B30" w14:textId="77777777" w:rsidR="003E7FD1" w:rsidRDefault="003E7FD1" w:rsidP="003E7FD1">
      <w:pPr>
        <w:pStyle w:val="a3"/>
        <w:spacing w:before="30" w:beforeAutospacing="0" w:after="0" w:afterAutospacing="0"/>
        <w:ind w:left="170" w:right="57"/>
        <w:jc w:val="center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АНАЛИЗ ПРЕДМЕТНОЙ ОБЛАСТИ ДЛЯ РАЗРАБОТКИ </w:t>
      </w:r>
      <w:r>
        <w:rPr>
          <w:b/>
          <w:bCs/>
          <w:sz w:val="28"/>
          <w:szCs w:val="28"/>
        </w:rPr>
        <w:t>ПРОГРАММНОГО ПРОДУКТА</w:t>
      </w:r>
    </w:p>
    <w:p w14:paraId="645AB36A" w14:textId="77777777" w:rsidR="003E7FD1" w:rsidRDefault="003E7FD1" w:rsidP="003E7FD1">
      <w:pPr>
        <w:spacing w:before="30"/>
        <w:ind w:left="170" w:right="57"/>
      </w:pPr>
    </w:p>
    <w:p w14:paraId="06A1E7B1" w14:textId="77777777" w:rsidR="003E7FD1" w:rsidRDefault="003E7FD1" w:rsidP="003E7FD1">
      <w:pPr>
        <w:pStyle w:val="21"/>
        <w:spacing w:before="30" w:line="360" w:lineRule="auto"/>
        <w:ind w:left="170" w:right="57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57E476D9" w14:textId="77777777" w:rsidR="003E7FD1" w:rsidRDefault="003E7FD1" w:rsidP="003E7FD1">
      <w:pPr>
        <w:pStyle w:val="a4"/>
        <w:spacing w:before="30" w:line="360" w:lineRule="auto"/>
        <w:ind w:left="170" w:right="57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предложенным вариантом предметной области.</w:t>
      </w:r>
    </w:p>
    <w:p w14:paraId="72B04669" w14:textId="2986A4D4" w:rsidR="003E7FD1" w:rsidRDefault="003E7FD1" w:rsidP="003E7FD1">
      <w:pPr>
        <w:pStyle w:val="a4"/>
        <w:spacing w:before="30"/>
        <w:ind w:left="170" w:right="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Предметная область: ЗАГС</w:t>
      </w:r>
    </w:p>
    <w:p w14:paraId="74A97F6F" w14:textId="77777777" w:rsidR="003E7FD1" w:rsidRDefault="003E7FD1" w:rsidP="003E7FD1">
      <w:pPr>
        <w:pStyle w:val="21"/>
        <w:spacing w:before="30" w:line="360" w:lineRule="auto"/>
        <w:ind w:left="170" w:right="57"/>
        <w:jc w:val="both"/>
        <w:rPr>
          <w:sz w:val="28"/>
          <w:szCs w:val="28"/>
        </w:rPr>
      </w:pPr>
      <w:r>
        <w:rPr>
          <w:sz w:val="28"/>
          <w:szCs w:val="28"/>
        </w:rPr>
        <w:t>Задание № 2</w:t>
      </w:r>
    </w:p>
    <w:p w14:paraId="258AC1BF" w14:textId="77777777" w:rsidR="003E7FD1" w:rsidRDefault="003E7FD1" w:rsidP="003E7FD1">
      <w:pPr>
        <w:spacing w:line="259" w:lineRule="auto"/>
        <w:ind w:left="170"/>
        <w:rPr>
          <w:rFonts w:ascii="Times New Roman" w:hAnsi="Times New Roman" w:cs="Times New Roman"/>
          <w:sz w:val="28"/>
          <w:szCs w:val="28"/>
        </w:rPr>
      </w:pPr>
      <w:r w:rsidRPr="00FA6349">
        <w:rPr>
          <w:rFonts w:ascii="Times New Roman" w:hAnsi="Times New Roman" w:cs="Times New Roman"/>
          <w:sz w:val="28"/>
          <w:szCs w:val="28"/>
        </w:rPr>
        <w:t>Предметная область является разделом государственного аппарата, занимающимся регистрацией актов гражданского состояния. Процессы, происходящие в данной предметной области, включают в себя регистрацию рождений, браков, разводов и смертей.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находятся в подчинении органов ЗАГС, которые организованны на муниципальном уровне. Организационная структура </w:t>
      </w:r>
      <w:r>
        <w:rPr>
          <w:rFonts w:ascii="Times New Roman" w:hAnsi="Times New Roman" w:cs="Times New Roman"/>
          <w:sz w:val="28"/>
          <w:szCs w:val="28"/>
        </w:rPr>
        <w:t xml:space="preserve">органов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включа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FA6349">
        <w:rPr>
          <w:rFonts w:ascii="Times New Roman" w:hAnsi="Times New Roman" w:cs="Times New Roman"/>
          <w:sz w:val="28"/>
          <w:szCs w:val="28"/>
        </w:rPr>
        <w:t xml:space="preserve"> в себя</w:t>
      </w:r>
      <w:r>
        <w:rPr>
          <w:rFonts w:ascii="Times New Roman" w:hAnsi="Times New Roman" w:cs="Times New Roman"/>
          <w:sz w:val="28"/>
          <w:szCs w:val="28"/>
        </w:rPr>
        <w:t xml:space="preserve"> начальника управления, первый и второй заместители,</w:t>
      </w:r>
      <w:r w:rsidRPr="00FA6349">
        <w:rPr>
          <w:rFonts w:ascii="Times New Roman" w:hAnsi="Times New Roman" w:cs="Times New Roman"/>
          <w:sz w:val="28"/>
          <w:szCs w:val="28"/>
        </w:rPr>
        <w:t xml:space="preserve"> главного регистратора, заместителя, отдел</w:t>
      </w:r>
      <w:r>
        <w:rPr>
          <w:rFonts w:ascii="Times New Roman" w:hAnsi="Times New Roman" w:cs="Times New Roman"/>
          <w:sz w:val="28"/>
          <w:szCs w:val="28"/>
        </w:rPr>
        <w:t xml:space="preserve"> накопления и обработки документов </w:t>
      </w:r>
      <w:r w:rsidRPr="00FA6349">
        <w:rPr>
          <w:rFonts w:ascii="Times New Roman" w:hAnsi="Times New Roman" w:cs="Times New Roman"/>
          <w:sz w:val="28"/>
          <w:szCs w:val="28"/>
        </w:rPr>
        <w:t>и других специалистов.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349">
        <w:rPr>
          <w:rFonts w:ascii="Times New Roman" w:hAnsi="Times New Roman" w:cs="Times New Roman"/>
          <w:sz w:val="28"/>
          <w:szCs w:val="28"/>
        </w:rPr>
        <w:t xml:space="preserve">Технико-экономические показатели деятельности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могут включать в себя различные параметры. Номенклатура производимых услуг включает регистрацию рождений, браков, разводов и смертей. Число потребителей может быть связано с потребностью граждан в регистрационных услугах. Данные технико-экономические показатели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A6349">
        <w:rPr>
          <w:rFonts w:ascii="Times New Roman" w:hAnsi="Times New Roman" w:cs="Times New Roman"/>
          <w:sz w:val="28"/>
          <w:szCs w:val="28"/>
        </w:rPr>
        <w:t>количество заключаемых за год</w:t>
      </w:r>
      <w:r>
        <w:rPr>
          <w:rFonts w:ascii="Times New Roman" w:hAnsi="Times New Roman" w:cs="Times New Roman"/>
          <w:sz w:val="28"/>
          <w:szCs w:val="28"/>
        </w:rPr>
        <w:t xml:space="preserve"> актов гражданского состояния</w:t>
      </w:r>
      <w:r w:rsidRPr="00FA6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47 359 пар</w:t>
      </w:r>
      <w:r w:rsidRPr="00FA6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349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ЗАГСы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играют важную роль в обществе.</w:t>
      </w:r>
    </w:p>
    <w:p w14:paraId="2D6E1F0A" w14:textId="77777777" w:rsidR="003E7FD1" w:rsidRDefault="003E7FD1" w:rsidP="003E7FD1">
      <w:pPr>
        <w:pStyle w:val="a4"/>
        <w:spacing w:before="30"/>
        <w:ind w:left="170" w:right="57"/>
        <w:rPr>
          <w:sz w:val="28"/>
          <w:szCs w:val="28"/>
        </w:rPr>
      </w:pPr>
    </w:p>
    <w:p w14:paraId="5E6AA3A0" w14:textId="77777777" w:rsidR="00944421" w:rsidRDefault="00944421"/>
    <w:sectPr w:rsidR="0094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B4"/>
    <w:rsid w:val="00136CB4"/>
    <w:rsid w:val="003E7FD1"/>
    <w:rsid w:val="00944421"/>
    <w:rsid w:val="00E9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D3F9"/>
  <w15:chartTrackingRefBased/>
  <w15:docId w15:val="{0BEA210F-7E80-4B53-B214-6691F474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D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3E7F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3E7FD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E7FD1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2</cp:revision>
  <dcterms:created xsi:type="dcterms:W3CDTF">2024-02-06T18:37:00Z</dcterms:created>
  <dcterms:modified xsi:type="dcterms:W3CDTF">2024-02-06T18:40:00Z</dcterms:modified>
</cp:coreProperties>
</file>