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9D253C">
      <w:pPr>
        <w:jc w:val="center"/>
        <w:rPr>
          <w:rFonts w:ascii="Times New Roman" w:hAnsi="Times New Roman" w:cs="Times New Roman"/>
          <w:b/>
          <w:sz w:val="28"/>
        </w:rPr>
      </w:pPr>
      <w:r>
        <w:rPr>
          <w:rFonts w:ascii="Times New Roman" w:hAnsi="Times New Roman" w:cs="Times New Roman"/>
          <w:b/>
          <w:sz w:val="28"/>
        </w:rPr>
        <w:t>АНОТАЦІЯ</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9D253C">
      <w:pPr>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ЗАГАЛЬНІ ПОЛОЖЕННЯ</w:t>
      </w:r>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r w:rsidRPr="009D253C">
        <w:rPr>
          <w:rFonts w:ascii="Times New Roman" w:hAnsi="Times New Roman" w:cs="Times New Roman"/>
          <w:color w:val="auto"/>
          <w:sz w:val="28"/>
        </w:rPr>
        <w:t>Опис предметного середовища</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lang w:val="en-US"/>
        </w:rPr>
      </w:pPr>
      <w:proofErr w:type="spellStart"/>
      <w:r>
        <w:rPr>
          <w:rFonts w:ascii="Times New Roman" w:hAnsi="Times New Roman" w:cs="Times New Roman"/>
          <w:color w:val="auto"/>
          <w:sz w:val="28"/>
          <w:lang w:val="en-US"/>
        </w:rPr>
        <w:t>Опис</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процесу</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діяльності</w:t>
      </w:r>
      <w:proofErr w:type="spellEnd"/>
    </w:p>
    <w:p w:rsidR="009D253C" w:rsidRP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функціональної моделі</w:t>
      </w:r>
    </w:p>
    <w:p w:rsidR="009D253C" w:rsidRP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Огляд наявних аналогів</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Постановка задачі</w:t>
      </w:r>
    </w:p>
    <w:p w:rsid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Призначення розробки</w:t>
      </w:r>
    </w:p>
    <w:p w:rsidR="009D253C" w:rsidRP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sidRPr="00E24211">
        <w:rPr>
          <w:rFonts w:ascii="Times New Roman" w:hAnsi="Times New Roman" w:cs="Times New Roman"/>
          <w:color w:val="auto"/>
          <w:sz w:val="28"/>
        </w:rPr>
        <w:t>Цілі та задачі розробки</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ІНФОРМАЦІЙНЕ ЗАБЕЗПЕЧЕННЯ</w:t>
      </w:r>
    </w:p>
    <w:p w:rsidR="00E24211" w:rsidRP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Вхідні дані</w:t>
      </w:r>
    </w:p>
    <w:p w:rsidR="00E24211" w:rsidRPr="009D253C"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Вихідні дані</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структури бази даних</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Структура масивів інформації</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A43BFB">
        <w:rPr>
          <w:rFonts w:ascii="Times New Roman" w:hAnsi="Times New Roman" w:cs="Times New Roman"/>
          <w:sz w:val="28"/>
        </w:rPr>
        <w:t xml:space="preserve">сті </w:t>
      </w:r>
      <w:r>
        <w:rPr>
          <w:rFonts w:ascii="Times New Roman" w:hAnsi="Times New Roman" w:cs="Times New Roman"/>
          <w:sz w:val="28"/>
        </w:rPr>
        <w:t xml:space="preserve">автопарку та наявної системи штрафів.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розв’язку є основою для розв’язання інших задач перевезення продукції, у яких враховується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r w:rsidRPr="00881956">
        <w:rPr>
          <w:rFonts w:ascii="Times New Roman" w:hAnsi="Times New Roman" w:cs="Times New Roman"/>
          <w:color w:val="auto"/>
          <w:sz w:val="28"/>
        </w:rPr>
        <w:t>Змістовна постановка задачі</w:t>
      </w:r>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Математична постановка задачі</w:t>
      </w:r>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2F15DB"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2F15DB"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2F15DB"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2F15DB"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2F15DB"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2F15DB"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8.5pt" o:ole="">
            <v:imagedata r:id="rId8" o:title=""/>
          </v:shape>
          <o:OLEObject Type="Embed" ProgID="Visio.Drawing.11" ShapeID="_x0000_i1025" DrawAspect="Content" ObjectID="_1398598020"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8598021"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Обґрунтування методу розв’язання</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7A2231" w:rsidRDefault="007A2231" w:rsidP="007A2231">
      <w:pPr>
        <w:spacing w:after="0" w:line="360" w:lineRule="auto"/>
        <w:ind w:firstLine="708"/>
        <w:jc w:val="both"/>
        <w:rPr>
          <w:rFonts w:ascii="Times New Roman" w:hAnsi="Times New Roman" w:cs="Times New Roman"/>
          <w:sz w:val="28"/>
        </w:rPr>
      </w:pPr>
      <w:r>
        <w:rPr>
          <w:rFonts w:ascii="Times New Roman" w:hAnsi="Times New Roman" w:cs="Times New Roman"/>
          <w:sz w:val="28"/>
        </w:rPr>
        <w:t>Оскільки заздалегідь передбачити для алгоритму співвідношення «час-точність» важко,  для розв’язання цієї задачі було обрано два різні підходи</w:t>
      </w:r>
      <w:r w:rsidR="00E31AEB">
        <w:rPr>
          <w:rFonts w:ascii="Times New Roman" w:hAnsi="Times New Roman" w:cs="Times New Roman"/>
          <w:sz w:val="28"/>
        </w:rPr>
        <w:t>, щоб обрати ефективніший з них</w:t>
      </w:r>
      <w:r>
        <w:rPr>
          <w:rFonts w:ascii="Times New Roman" w:hAnsi="Times New Roman" w:cs="Times New Roman"/>
          <w:sz w:val="28"/>
        </w:rPr>
        <w:t xml:space="preserve">. Один із них – </w:t>
      </w:r>
      <w:proofErr w:type="spellStart"/>
      <w:r>
        <w:rPr>
          <w:rFonts w:ascii="Times New Roman" w:hAnsi="Times New Roman" w:cs="Times New Roman"/>
          <w:sz w:val="28"/>
        </w:rPr>
        <w:t>двохетапний</w:t>
      </w:r>
      <w:proofErr w:type="spellEnd"/>
      <w:r>
        <w:rPr>
          <w:rFonts w:ascii="Times New Roman" w:hAnsi="Times New Roman" w:cs="Times New Roman"/>
          <w:sz w:val="28"/>
        </w:rPr>
        <w:t xml:space="preserve"> алгоритм (евристичний метод)</w:t>
      </w:r>
      <w:r w:rsidR="00E31AEB">
        <w:rPr>
          <w:rFonts w:ascii="Times New Roman" w:hAnsi="Times New Roman" w:cs="Times New Roman"/>
          <w:sz w:val="28"/>
        </w:rPr>
        <w:t xml:space="preserve">. Доцільність його використання обумовлена тим що, </w:t>
      </w:r>
      <w:r>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Pr>
          <w:rFonts w:ascii="Times New Roman" w:hAnsi="Times New Roman" w:cs="Times New Roman"/>
          <w:sz w:val="28"/>
        </w:rPr>
        <w:t>мета</w:t>
      </w:r>
      <w:r>
        <w:rPr>
          <w:rFonts w:ascii="Times New Roman" w:hAnsi="Times New Roman" w:cs="Times New Roman"/>
          <w:sz w:val="28"/>
        </w:rPr>
        <w:t>евристичних</w:t>
      </w:r>
      <w:proofErr w:type="spellEnd"/>
      <w:r>
        <w:rPr>
          <w:rFonts w:ascii="Times New Roman" w:hAnsi="Times New Roman" w:cs="Times New Roman"/>
          <w:sz w:val="28"/>
        </w:rPr>
        <w:t xml:space="preserve"> алгоритмів – бджолиний алгоритм, який є  відносно новим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B27284">
        <w:rPr>
          <w:rFonts w:ascii="Times New Roman" w:hAnsi="Times New Roman" w:cs="Times New Roman"/>
          <w:sz w:val="28"/>
        </w:rPr>
        <w:t xml:space="preserve">. Тобто граф має містити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5pt;height:313.5pt" o:ole="">
            <v:imagedata r:id="rId12" o:title=""/>
          </v:shape>
          <o:OLEObject Type="Embed" ProgID="Visio.Drawing.11" ShapeID="_x0000_i1027" DrawAspect="Content" ObjectID="_1398598022"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у різних напрямках від вулика.  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Бджоли-розвідники, які знайшли на попередній ітерації кращі розв’язки залишаються на своїх квіткових ділянках.  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0" w:name="_GoBack"/>
      <w:bookmarkEnd w:id="0"/>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Застосування бджолиного алгоритму для розв’язання задачі комівояжера</w:t>
      </w:r>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2F15DB"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2F15DB"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2F15DB"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2F15DB"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2F15DB"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32448B">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2F15DB"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2F15DB"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8598023"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8598024"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4.5pt" o:ole="">
                  <v:imagedata r:id="rId18" o:title=""/>
                </v:shape>
                <o:OLEObject Type="Embed" ProgID="Visio.Drawing.11" ShapeID="_x0000_i1030" DrawAspect="Content" ObjectID="_1398598025"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4.5pt" o:ole="">
                  <v:imagedata r:id="rId20" o:title=""/>
                </v:shape>
                <o:OLEObject Type="Embed" ProgID="Visio.Drawing.11" ShapeID="_x0000_i1031" DrawAspect="Content" ObjectID="_1398598026"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6232AE"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p>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2F15DB"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2F15DB" w:rsidP="0075371B">
            <w:pPr>
              <w:spacing w:before="120" w:after="6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A31679">
      <w:pPr>
        <w:spacing w:before="120"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18" o:title=""/>
                </v:shape>
                <o:OLEObject Type="Embed" ProgID="Visio.Drawing.11" ShapeID="_x0000_i1032" DrawAspect="Content" ObjectID="_1398598027"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3" o:title=""/>
                </v:shape>
                <o:OLEObject Type="Embed" ProgID="Visio.Drawing.11" ShapeID="_x0000_i1033" DrawAspect="Content" ObjectID="_1398598028" r:id="rId24"/>
              </w:object>
            </w:r>
          </w:p>
        </w:tc>
      </w:tr>
      <w:tr w:rsidR="00E8441E" w:rsidTr="003E7D04">
        <w:tc>
          <w:tcPr>
            <w:tcW w:w="9570" w:type="dxa"/>
            <w:gridSpan w:val="2"/>
          </w:tcPr>
          <w:p w:rsidR="00E8441E" w:rsidRDefault="00E8441E" w:rsidP="005A5C82">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lastRenderedPageBreak/>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E36CC5">
        <w:rPr>
          <w:rFonts w:ascii="Times New Roman" w:eastAsiaTheme="minorEastAsia" w:hAnsi="Times New Roman" w:cs="Times New Roman"/>
          <w:sz w:val="28"/>
          <w:highlight w:val="green"/>
          <w:lang w:val="en-US"/>
        </w:rPr>
        <w:t xml:space="preserve">Data </w:t>
      </w:r>
      <w:r w:rsidR="00E36CC5" w:rsidRPr="00E36CC5">
        <w:rPr>
          <w:rFonts w:ascii="Times New Roman" w:eastAsiaTheme="minorEastAsia" w:hAnsi="Times New Roman" w:cs="Times New Roman"/>
          <w:sz w:val="28"/>
          <w:highlight w:val="green"/>
          <w:lang w:val="en-US"/>
        </w:rPr>
        <w:t>clu</w:t>
      </w:r>
      <w:r w:rsidR="00794ED7" w:rsidRPr="00E36CC5">
        <w:rPr>
          <w:rFonts w:ascii="Times New Roman" w:eastAsiaTheme="minorEastAsia" w:hAnsi="Times New Roman" w:cs="Times New Roman"/>
          <w:sz w:val="28"/>
          <w:highlight w:val="green"/>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w:t>
      </w:r>
      <w:r w:rsidR="00794ED7" w:rsidRPr="00EB740D">
        <w:rPr>
          <w:rFonts w:ascii="Times New Roman" w:eastAsiaTheme="minorEastAsia" w:hAnsi="Times New Roman" w:cs="Times New Roman"/>
          <w:sz w:val="28"/>
        </w:rPr>
        <w:t xml:space="preserve"> </w:t>
      </w:r>
      <w:r w:rsidRPr="00EB740D">
        <w:rPr>
          <w:rFonts w:ascii="Times New Roman" w:eastAsiaTheme="minorEastAsia" w:hAnsi="Times New Roman" w:cs="Times New Roman"/>
          <w:sz w:val="28"/>
        </w:rPr>
        <w:t>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AEB" w:rsidRDefault="002F15DB" w:rsidP="00F57F0D">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 xml:space="preserve">,  </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2F15DB"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2F15DB"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2F15DB"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2F15DB"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lastRenderedPageBreak/>
        <w:t>Метод k-середніх</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відподно</w:t>
      </w:r>
      <w:proofErr w:type="spellEnd"/>
      <w:r w:rsidR="00E202F6">
        <w:rPr>
          <w:rFonts w:ascii="Times New Roman" w:eastAsiaTheme="minorEastAsia" w:hAnsi="Times New Roman" w:cs="Times New Roman"/>
          <w:sz w:val="28"/>
        </w:rPr>
        <w:t xml:space="preserve"> до того який </w:t>
      </w:r>
      <w:proofErr w:type="spellStart"/>
      <w:r w:rsidR="00E202F6">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5" o:title=""/>
                </v:shape>
                <o:OLEObject Type="Embed" ProgID="Visio.Drawing.11" ShapeID="_x0000_i1034" DrawAspect="Content" ObjectID="_1398598029"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7" o:title=""/>
                </v:shape>
                <o:OLEObject Type="Embed" ProgID="Visio.Drawing.11" ShapeID="_x0000_i1035" DrawAspect="Content" ObjectID="_1398598030"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29" o:title=""/>
                </v:shape>
                <o:OLEObject Type="Embed" ProgID="Visio.Drawing.11" ShapeID="_x0000_i1036" DrawAspect="Content" ObjectID="_1398598031"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1" o:title=""/>
                </v:shape>
                <o:OLEObject Type="Embed" ProgID="Visio.Drawing.11" ShapeID="_x0000_i1037" DrawAspect="Content" ObjectID="_1398598032"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2F15DB"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50pt" o:ole="">
            <v:imagedata r:id="rId33" o:title=""/>
          </v:shape>
          <o:OLEObject Type="Embed" ProgID="Visio.Drawing.11" ShapeID="_x0000_i1038" DrawAspect="Content" ObjectID="_1398598033"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6.5pt;height:180pt" o:ole="">
            <v:imagedata r:id="rId35" o:title=""/>
          </v:shape>
          <o:OLEObject Type="Embed" ProgID="Visio.Drawing.11" ShapeID="_x0000_i1039" DrawAspect="Content" ObjectID="_1398598034"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6.5pt;height:126pt" o:ole="">
            <v:imagedata r:id="rId37" o:title=""/>
          </v:shape>
          <o:OLEObject Type="Embed" ProgID="Visio.Drawing.11" ShapeID="_x0000_i1040" DrawAspect="Content" ObjectID="_1398598035"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Засоби розробки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Вимоги до технічного забезпечення</w:t>
      </w:r>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вимоги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класів</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послідовності</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компонентів</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Специфікація функцій</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звітів</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P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ТЕХНОЛОГІЧНИЙ РОЗДІЛ</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Керівництво користувача</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Випробування програмного продукту</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Мета випробувань</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положення</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Результат випробувань</w:t>
      </w:r>
    </w:p>
    <w:p w:rsidR="009D253C" w:rsidRDefault="009D253C" w:rsidP="00501F28">
      <w:pPr>
        <w:pStyle w:val="Heading2"/>
        <w:spacing w:line="360" w:lineRule="auto"/>
        <w:ind w:left="1"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ЗАГАЛЬНІ ВИСНОВКИ</w:t>
      </w:r>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 складання плану перевезень із урахуванням вантажомісткості транспортних засобів, обмеженого автопарку та системи штрафів.</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загальній частині дипломного проекту також описана архітектура програмного забезпечення та вимоги до технічного </w:t>
      </w:r>
      <w:proofErr w:type="spellStart"/>
      <w:r>
        <w:rPr>
          <w:rFonts w:ascii="Times New Roman" w:hAnsi="Times New Roman" w:cs="Times New Roman"/>
          <w:color w:val="000000" w:themeColor="text1"/>
          <w:sz w:val="28"/>
        </w:rPr>
        <w:t>забепечення</w:t>
      </w:r>
      <w:proofErr w:type="spellEnd"/>
      <w:r>
        <w:rPr>
          <w:rFonts w:ascii="Times New Roman" w:hAnsi="Times New Roman" w:cs="Times New Roman"/>
          <w:color w:val="000000" w:themeColor="text1"/>
          <w:sz w:val="28"/>
        </w:rPr>
        <w:t>, наведена інструкція користувача по експлуатації комплексу задач, описана методика випробувань.</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ПЕРЕЛІК ПОСИЛАНЬ</w:t>
      </w:r>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FFE" w:rsidRPr="00777A5B" w:rsidRDefault="00725FFE" w:rsidP="00777A5B">
      <w:pPr>
        <w:spacing w:after="0" w:line="240" w:lineRule="auto"/>
      </w:pPr>
      <w:r>
        <w:separator/>
      </w:r>
    </w:p>
  </w:endnote>
  <w:endnote w:type="continuationSeparator" w:id="0">
    <w:p w:rsidR="00725FFE" w:rsidRPr="00777A5B" w:rsidRDefault="00725FFE"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FFE" w:rsidRPr="00777A5B" w:rsidRDefault="00725FFE" w:rsidP="00777A5B">
      <w:pPr>
        <w:spacing w:after="0" w:line="240" w:lineRule="auto"/>
      </w:pPr>
      <w:r>
        <w:separator/>
      </w:r>
    </w:p>
  </w:footnote>
  <w:footnote w:type="continuationSeparator" w:id="0">
    <w:p w:rsidR="00725FFE" w:rsidRPr="00777A5B" w:rsidRDefault="00725FFE"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A7" w:rsidRDefault="00DE2DA7" w:rsidP="00DE2DA7">
    <w:pPr>
      <w:framePr w:wrap="auto" w:vAnchor="text" w:hAnchor="page" w:x="5379" w:y="6"/>
    </w:pPr>
  </w:p>
  <w:p w:rsidR="008155CD" w:rsidRDefault="002F15DB"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DE2DA7" w:rsidRDefault="00DE2DA7"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DE2DA7" w:rsidRDefault="00DE2DA7"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DE2DA7" w:rsidRDefault="00DE2DA7"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DE2DA7" w:rsidRDefault="00DE2DA7"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DE2DA7" w:rsidRDefault="00DE2DA7"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DE2DA7" w:rsidRDefault="00DE2DA7"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DE2DA7" w:rsidRDefault="00F97D0C" w:rsidP="00DE2DA7">
                    <w:pPr>
                      <w:pStyle w:val="a"/>
                      <w:jc w:val="center"/>
                      <w:rPr>
                        <w:sz w:val="24"/>
                      </w:rPr>
                    </w:pPr>
                    <w:r w:rsidRPr="00F97D0C">
                      <w:rPr>
                        <w:sz w:val="24"/>
                      </w:rPr>
                      <w:fldChar w:fldCharType="begin"/>
                    </w:r>
                    <w:r w:rsidRPr="00F97D0C">
                      <w:rPr>
                        <w:sz w:val="24"/>
                      </w:rPr>
                      <w:instrText xml:space="preserve"> PAGE   \* MERGEFORMAT </w:instrText>
                    </w:r>
                    <w:r w:rsidRPr="00F97D0C">
                      <w:rPr>
                        <w:sz w:val="24"/>
                      </w:rPr>
                      <w:fldChar w:fldCharType="separate"/>
                    </w:r>
                    <w:r>
                      <w:rPr>
                        <w:noProof/>
                        <w:sz w:val="24"/>
                      </w:rPr>
                      <w:t>6</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DE2DA7" w:rsidRPr="006F2572" w:rsidRDefault="00DE2DA7"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sidR="00DC6E10">
                      <w:rPr>
                        <w:rFonts w:ascii="Arial" w:hAnsi="Arial" w:cs="Arial"/>
                        <w:sz w:val="32"/>
                        <w:szCs w:val="32"/>
                        <w:lang w:val="en-US"/>
                      </w:rPr>
                      <w:t>04</w:t>
                    </w:r>
                    <w:r w:rsidRPr="006F2572">
                      <w:rPr>
                        <w:rFonts w:ascii="Arial" w:hAnsi="Arial" w:cs="Arial"/>
                        <w:sz w:val="32"/>
                        <w:szCs w:val="32"/>
                      </w:rPr>
                      <w:t>.</w:t>
                    </w:r>
                    <w:r w:rsidR="00DC6E10">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2F15DB">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D1" w:rsidRDefault="002F15DB">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741ED1" w:rsidRDefault="00741ED1"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741ED1" w:rsidRDefault="00741ED1"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741ED1" w:rsidRPr="00F8554C" w:rsidRDefault="00741ED1"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741ED1" w:rsidRPr="00F8554C" w:rsidRDefault="00741ED1"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741ED1" w:rsidRDefault="00741ED1"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741ED1" w:rsidRDefault="00741ED1"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741ED1" w:rsidRDefault="00741ED1"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741ED1" w:rsidRPr="006F2572" w:rsidRDefault="00741ED1"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sidR="00DC6E10">
                    <w:rPr>
                      <w:rFonts w:ascii="Arial" w:hAnsi="Arial" w:cs="Arial"/>
                      <w:sz w:val="32"/>
                      <w:szCs w:val="32"/>
                      <w:lang w:val="en-US"/>
                    </w:rPr>
                    <w:t>8104</w:t>
                  </w:r>
                  <w:r w:rsidRPr="006F2572">
                    <w:rPr>
                      <w:rFonts w:ascii="Arial" w:hAnsi="Arial" w:cs="Arial"/>
                      <w:sz w:val="32"/>
                      <w:szCs w:val="32"/>
                    </w:rPr>
                    <w:t>.</w:t>
                  </w:r>
                  <w:r w:rsidR="00DC6E10">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741ED1" w:rsidRDefault="00741ED1"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741ED1" w:rsidRDefault="00741ED1"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741ED1" w:rsidRDefault="00741ED1" w:rsidP="00741ED1">
                    <w:pPr>
                      <w:rPr>
                        <w:i/>
                        <w:sz w:val="18"/>
                        <w:szCs w:val="18"/>
                      </w:rPr>
                    </w:pPr>
                    <w:r w:rsidRPr="00417F89">
                      <w:rPr>
                        <w:i/>
                        <w:sz w:val="18"/>
                        <w:szCs w:val="18"/>
                        <w:highlight w:val="yellow"/>
                      </w:rPr>
                      <w:t>Іванов І.І.</w:t>
                    </w:r>
                  </w:p>
                  <w:p w:rsidR="00741ED1" w:rsidRDefault="00741ED1"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741ED1" w:rsidRDefault="00741ED1" w:rsidP="00741ED1">
                    <w:pPr>
                      <w:rPr>
                        <w:sz w:val="20"/>
                        <w:szCs w:val="20"/>
                      </w:rPr>
                    </w:pPr>
                    <w:r>
                      <w:rPr>
                        <w:sz w:val="20"/>
                        <w:szCs w:val="20"/>
                      </w:rPr>
                      <w:t>Перевірив.</w:t>
                    </w:r>
                  </w:p>
                  <w:p w:rsidR="00741ED1" w:rsidRDefault="00741ED1"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741ED1" w:rsidRDefault="00741ED1" w:rsidP="00741ED1">
                    <w:pPr>
                      <w:rPr>
                        <w:i/>
                        <w:sz w:val="18"/>
                        <w:szCs w:val="18"/>
                      </w:rPr>
                    </w:pPr>
                    <w:r w:rsidRPr="00417F89">
                      <w:rPr>
                        <w:i/>
                        <w:sz w:val="18"/>
                        <w:szCs w:val="18"/>
                        <w:highlight w:val="yellow"/>
                      </w:rPr>
                      <w:t>Баня Є.М.</w:t>
                    </w:r>
                  </w:p>
                  <w:p w:rsidR="00741ED1" w:rsidRDefault="00741ED1"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741ED1" w:rsidRDefault="00741ED1"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741ED1" w:rsidRDefault="00741ED1"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741ED1" w:rsidRDefault="00741ED1"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741ED1" w:rsidRDefault="00741ED1"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741ED1" w:rsidRDefault="00741ED1"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741ED1" w:rsidRDefault="00741ED1" w:rsidP="00741ED1">
                    <w:pPr>
                      <w:rPr>
                        <w:i/>
                        <w:sz w:val="18"/>
                        <w:szCs w:val="18"/>
                      </w:rPr>
                    </w:pPr>
                    <w:r w:rsidRPr="00417F89">
                      <w:rPr>
                        <w:i/>
                        <w:sz w:val="18"/>
                        <w:szCs w:val="18"/>
                        <w:highlight w:val="yellow"/>
                      </w:rPr>
                      <w:t>Баня Є.М.</w:t>
                    </w:r>
                  </w:p>
                  <w:p w:rsidR="00741ED1" w:rsidRDefault="00741ED1"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F97D0C" w:rsidRPr="00BD535F" w:rsidRDefault="00F97D0C" w:rsidP="00F97D0C">
                  <w:pPr>
                    <w:spacing w:before="360" w:after="100" w:afterAutospacing="1"/>
                    <w:jc w:val="center"/>
                    <w:rPr>
                      <w:i/>
                    </w:rPr>
                  </w:pPr>
                  <w:r w:rsidRPr="00F97D0C">
                    <w:t>Комплекс задач складання плану перевезень продукції</w:t>
                  </w:r>
                </w:p>
                <w:p w:rsidR="00741ED1" w:rsidRDefault="00741ED1" w:rsidP="00741ED1">
                  <w:pPr>
                    <w:jc w:val="center"/>
                    <w:rPr>
                      <w:lang w:val="ru-RU"/>
                    </w:rPr>
                  </w:pPr>
                </w:p>
                <w:p w:rsidR="00741ED1" w:rsidRDefault="00741ED1"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741ED1" w:rsidRDefault="00741ED1"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741ED1" w:rsidRDefault="00741ED1"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741ED1" w:rsidRDefault="00741ED1" w:rsidP="00741ED1">
                  <w:pPr>
                    <w:jc w:val="center"/>
                    <w:rPr>
                      <w:sz w:val="18"/>
                      <w:szCs w:val="18"/>
                    </w:rPr>
                  </w:pPr>
                </w:p>
                <w:p w:rsidR="00741ED1" w:rsidRDefault="00741ED1"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741ED1" w:rsidRDefault="00741ED1"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741ED1" w:rsidRPr="00DC6E10" w:rsidRDefault="00741ED1" w:rsidP="00741ED1">
                  <w:pPr>
                    <w:autoSpaceDE w:val="0"/>
                    <w:autoSpaceDN w:val="0"/>
                    <w:adjustRightInd w:val="0"/>
                    <w:spacing w:line="239" w:lineRule="atLeast"/>
                    <w:jc w:val="center"/>
                    <w:rPr>
                      <w:i/>
                      <w:iCs/>
                      <w:color w:val="000000"/>
                      <w:sz w:val="20"/>
                      <w:szCs w:val="20"/>
                      <w:lang w:val="en-US"/>
                    </w:rPr>
                  </w:pPr>
                  <w:r>
                    <w:rPr>
                      <w:i/>
                      <w:iCs/>
                      <w:color w:val="000000"/>
                      <w:sz w:val="20"/>
                      <w:szCs w:val="20"/>
                    </w:rPr>
                    <w:t xml:space="preserve">кафедра АСОІУ гр. </w:t>
                  </w:r>
                  <w:r>
                    <w:rPr>
                      <w:i/>
                      <w:iCs/>
                      <w:color w:val="000000"/>
                      <w:sz w:val="20"/>
                      <w:szCs w:val="20"/>
                    </w:rPr>
                    <w:t>ІС-8</w:t>
                  </w:r>
                  <w:r w:rsidR="00DC6E10">
                    <w:rPr>
                      <w:i/>
                      <w:iCs/>
                      <w:color w:val="000000"/>
                      <w:sz w:val="20"/>
                      <w:szCs w:val="20"/>
                      <w:lang w:val="en-US"/>
                    </w:rPr>
                    <w:t>1</w:t>
                  </w:r>
                </w:p>
                <w:p w:rsidR="00741ED1" w:rsidRDefault="00741ED1"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8">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2">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6">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3">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4">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6"/>
  </w:num>
  <w:num w:numId="2">
    <w:abstractNumId w:val="8"/>
  </w:num>
  <w:num w:numId="3">
    <w:abstractNumId w:val="19"/>
  </w:num>
  <w:num w:numId="4">
    <w:abstractNumId w:val="13"/>
  </w:num>
  <w:num w:numId="5">
    <w:abstractNumId w:val="2"/>
  </w:num>
  <w:num w:numId="6">
    <w:abstractNumId w:val="20"/>
  </w:num>
  <w:num w:numId="7">
    <w:abstractNumId w:val="22"/>
  </w:num>
  <w:num w:numId="8">
    <w:abstractNumId w:val="10"/>
  </w:num>
  <w:num w:numId="9">
    <w:abstractNumId w:val="15"/>
  </w:num>
  <w:num w:numId="10">
    <w:abstractNumId w:val="17"/>
  </w:num>
  <w:num w:numId="11">
    <w:abstractNumId w:val="0"/>
  </w:num>
  <w:num w:numId="12">
    <w:abstractNumId w:val="18"/>
  </w:num>
  <w:num w:numId="13">
    <w:abstractNumId w:val="21"/>
  </w:num>
  <w:num w:numId="14">
    <w:abstractNumId w:val="9"/>
  </w:num>
  <w:num w:numId="15">
    <w:abstractNumId w:val="12"/>
  </w:num>
  <w:num w:numId="16">
    <w:abstractNumId w:val="7"/>
  </w:num>
  <w:num w:numId="17">
    <w:abstractNumId w:val="24"/>
  </w:num>
  <w:num w:numId="18">
    <w:abstractNumId w:val="5"/>
  </w:num>
  <w:num w:numId="19">
    <w:abstractNumId w:val="23"/>
  </w:num>
  <w:num w:numId="20">
    <w:abstractNumId w:val="1"/>
  </w:num>
  <w:num w:numId="21">
    <w:abstractNumId w:val="3"/>
  </w:num>
  <w:num w:numId="22">
    <w:abstractNumId w:val="4"/>
  </w:num>
  <w:num w:numId="23">
    <w:abstractNumId w:val="11"/>
  </w:num>
  <w:num w:numId="24">
    <w:abstractNumId w:val="14"/>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2290"/>
    <o:shapelayout v:ext="edit">
      <o:idmap v:ext="edit" data="9"/>
      <o:rules v:ext="edit">
        <o:r id="V:Rule1" type="connector" idref="#Line 322"/>
        <o:r id="V:Rule2" type="connector" idref="#Line 9"/>
        <o:r id="V:Rule3" type="connector" idref="#Line 323"/>
        <o:r id="V:Rule4" type="connector" idref="#Line 10"/>
        <o:r id="V:Rule5" type="connector" idref="#Line 321"/>
        <o:r id="V:Rule6" type="connector" idref="#Line 342"/>
        <o:r id="V:Rule7" type="connector" idref="#Line 358"/>
        <o:r id="V:Rule8" type="connector" idref="#Line 329"/>
        <o:r id="V:Rule9" type="connector" idref="#Line 12"/>
        <o:r id="V:Rule10" type="connector" idref="#Line 328"/>
        <o:r id="V:Rule11" type="connector" idref="#Line 11"/>
        <o:r id="V:Rule12" type="connector" idref="#Line 367"/>
        <o:r id="V:Rule13" type="connector" idref="#Line 326"/>
        <o:r id="V:Rule14" type="connector" idref="#Line 13"/>
        <o:r id="V:Rule15" type="connector" idref="#Line 4"/>
        <o:r id="V:Rule16" type="connector" idref="#Line 327"/>
        <o:r id="V:Rule17" type="connector" idref="#Line 22"/>
        <o:r id="V:Rule18" type="connector" idref="#Line 338"/>
        <o:r id="V:Rule19" type="connector" idref="#Line 362"/>
        <o:r id="V:Rule20" type="connector" idref="#Line 8"/>
        <o:r id="V:Rule21" type="connector" idref="#Line 325"/>
        <o:r id="V:Rule22" type="connector" idref="#Line 366"/>
        <o:r id="V:Rule23" type="connector" idref="#Line 7"/>
        <o:r id="V:Rule24" type="connector" idref="#Line 324"/>
        <o:r id="V:Rule25" type="connector" idref="#Line 339"/>
        <o:r id="V:Rule26" type="connector" idref="#Line 361"/>
        <o:r id="V:Rule27" type="connector" idref="#Line 5"/>
        <o:r id="V:Rule28" type="connector" idref="#Line 341"/>
        <o:r id="V:Rule29" type="connector" idref="#Line 23"/>
        <o:r id="V:Rule30" type="connector" idref="#Line 340"/>
        <o:r id="V:Rule31" type="connector" idref="#Line 360"/>
        <o:r id="V:Rule32" type="connector" idref="#Line 6"/>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FB9"/>
    <w:rsid w:val="000B097B"/>
    <w:rsid w:val="000B6DA1"/>
    <w:rsid w:val="000C3088"/>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20337A"/>
    <w:rsid w:val="002069B3"/>
    <w:rsid w:val="002446E9"/>
    <w:rsid w:val="00245BE2"/>
    <w:rsid w:val="00254BCA"/>
    <w:rsid w:val="00291E7D"/>
    <w:rsid w:val="002D31C8"/>
    <w:rsid w:val="002D6F0C"/>
    <w:rsid w:val="002E2358"/>
    <w:rsid w:val="002F15DB"/>
    <w:rsid w:val="00300060"/>
    <w:rsid w:val="00312364"/>
    <w:rsid w:val="0032448B"/>
    <w:rsid w:val="0032572A"/>
    <w:rsid w:val="0033777C"/>
    <w:rsid w:val="00343D98"/>
    <w:rsid w:val="00351649"/>
    <w:rsid w:val="003612AD"/>
    <w:rsid w:val="00372C46"/>
    <w:rsid w:val="0039580F"/>
    <w:rsid w:val="003B0643"/>
    <w:rsid w:val="003C2819"/>
    <w:rsid w:val="003D730B"/>
    <w:rsid w:val="003D7C9F"/>
    <w:rsid w:val="003E7D04"/>
    <w:rsid w:val="003F6A36"/>
    <w:rsid w:val="00416179"/>
    <w:rsid w:val="004470EA"/>
    <w:rsid w:val="00450D80"/>
    <w:rsid w:val="00482DFC"/>
    <w:rsid w:val="00484EDE"/>
    <w:rsid w:val="004907E2"/>
    <w:rsid w:val="004B59A7"/>
    <w:rsid w:val="004E4C2D"/>
    <w:rsid w:val="004F3F90"/>
    <w:rsid w:val="004F5536"/>
    <w:rsid w:val="004F5B5C"/>
    <w:rsid w:val="0050161B"/>
    <w:rsid w:val="00501F28"/>
    <w:rsid w:val="0050418A"/>
    <w:rsid w:val="00522DB8"/>
    <w:rsid w:val="0052515E"/>
    <w:rsid w:val="00554FCA"/>
    <w:rsid w:val="00575863"/>
    <w:rsid w:val="0058091F"/>
    <w:rsid w:val="0059590E"/>
    <w:rsid w:val="005A5C82"/>
    <w:rsid w:val="005A75D4"/>
    <w:rsid w:val="005C2C89"/>
    <w:rsid w:val="005C3A4B"/>
    <w:rsid w:val="005D5335"/>
    <w:rsid w:val="005D708A"/>
    <w:rsid w:val="005E5261"/>
    <w:rsid w:val="00607B0A"/>
    <w:rsid w:val="006147BC"/>
    <w:rsid w:val="006232AE"/>
    <w:rsid w:val="00634A7E"/>
    <w:rsid w:val="006404A3"/>
    <w:rsid w:val="0066160B"/>
    <w:rsid w:val="006A1655"/>
    <w:rsid w:val="006C2B7B"/>
    <w:rsid w:val="0070665E"/>
    <w:rsid w:val="007162FF"/>
    <w:rsid w:val="00724BC0"/>
    <w:rsid w:val="00725FFE"/>
    <w:rsid w:val="00734B99"/>
    <w:rsid w:val="00741ED1"/>
    <w:rsid w:val="0075371B"/>
    <w:rsid w:val="0076291E"/>
    <w:rsid w:val="0077338E"/>
    <w:rsid w:val="00777A5B"/>
    <w:rsid w:val="00794ED7"/>
    <w:rsid w:val="007A2231"/>
    <w:rsid w:val="007A2F12"/>
    <w:rsid w:val="007A65C5"/>
    <w:rsid w:val="007C2E6D"/>
    <w:rsid w:val="007D49FE"/>
    <w:rsid w:val="007D73DF"/>
    <w:rsid w:val="007E1E8E"/>
    <w:rsid w:val="00805D77"/>
    <w:rsid w:val="008155CD"/>
    <w:rsid w:val="008355BC"/>
    <w:rsid w:val="00837AC6"/>
    <w:rsid w:val="00845FC6"/>
    <w:rsid w:val="00851D4A"/>
    <w:rsid w:val="008567DD"/>
    <w:rsid w:val="0086239E"/>
    <w:rsid w:val="00874B16"/>
    <w:rsid w:val="00881956"/>
    <w:rsid w:val="0088440E"/>
    <w:rsid w:val="008852A9"/>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2079"/>
    <w:rsid w:val="00AB694C"/>
    <w:rsid w:val="00AD2245"/>
    <w:rsid w:val="00B21B3F"/>
    <w:rsid w:val="00B27284"/>
    <w:rsid w:val="00B40196"/>
    <w:rsid w:val="00B44E88"/>
    <w:rsid w:val="00B47E3A"/>
    <w:rsid w:val="00B61B3E"/>
    <w:rsid w:val="00B71F08"/>
    <w:rsid w:val="00B91347"/>
    <w:rsid w:val="00B92AC2"/>
    <w:rsid w:val="00BA54B4"/>
    <w:rsid w:val="00BB01AE"/>
    <w:rsid w:val="00BE2788"/>
    <w:rsid w:val="00C05894"/>
    <w:rsid w:val="00C21B1D"/>
    <w:rsid w:val="00C2756B"/>
    <w:rsid w:val="00C93DA3"/>
    <w:rsid w:val="00CB583E"/>
    <w:rsid w:val="00CE20AB"/>
    <w:rsid w:val="00CE775B"/>
    <w:rsid w:val="00CF29FF"/>
    <w:rsid w:val="00D0576C"/>
    <w:rsid w:val="00D20487"/>
    <w:rsid w:val="00D546A0"/>
    <w:rsid w:val="00D62A9A"/>
    <w:rsid w:val="00D970F2"/>
    <w:rsid w:val="00DC6E10"/>
    <w:rsid w:val="00DC78C7"/>
    <w:rsid w:val="00DE2DA7"/>
    <w:rsid w:val="00DE3E96"/>
    <w:rsid w:val="00DE6D27"/>
    <w:rsid w:val="00DF5D28"/>
    <w:rsid w:val="00E202F6"/>
    <w:rsid w:val="00E24211"/>
    <w:rsid w:val="00E31AEB"/>
    <w:rsid w:val="00E35A61"/>
    <w:rsid w:val="00E36CC5"/>
    <w:rsid w:val="00E40981"/>
    <w:rsid w:val="00E5272A"/>
    <w:rsid w:val="00E54AB8"/>
    <w:rsid w:val="00E64FBC"/>
    <w:rsid w:val="00E77363"/>
    <w:rsid w:val="00E8441E"/>
    <w:rsid w:val="00EB3CE6"/>
    <w:rsid w:val="00EB48D0"/>
    <w:rsid w:val="00EB6E98"/>
    <w:rsid w:val="00EB740D"/>
    <w:rsid w:val="00EE5F5E"/>
    <w:rsid w:val="00F13BDF"/>
    <w:rsid w:val="00F15023"/>
    <w:rsid w:val="00F23BC3"/>
    <w:rsid w:val="00F5773C"/>
    <w:rsid w:val="00F57F0D"/>
    <w:rsid w:val="00F70936"/>
    <w:rsid w:val="00F81050"/>
    <w:rsid w:val="00F94D3B"/>
    <w:rsid w:val="00F97D0C"/>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BE65C4-2A4F-4B02-95F4-00EBA39F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30</Pages>
  <Words>17614</Words>
  <Characters>10041</Characters>
  <Application>Microsoft Office Word</Application>
  <DocSecurity>0</DocSecurity>
  <Lines>83</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28</cp:revision>
  <cp:lastPrinted>2012-05-10T21:11:00Z</cp:lastPrinted>
  <dcterms:created xsi:type="dcterms:W3CDTF">2012-05-13T15:40:00Z</dcterms:created>
  <dcterms:modified xsi:type="dcterms:W3CDTF">2012-05-15T11:40:00Z</dcterms:modified>
</cp:coreProperties>
</file>