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255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Административного кодекса штата San-Andreas статьёй 6.8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Статья 10.1 Уголовного кодекса квалифицирует кражу как тайное хищение чужого имущества стоимостью свыше 15.000$: хищение имущества меньшей стоимости не влечёт ни уголовной, ни административной ответственности. Настоящим законопроектом вводится статья 6.8: мелкое хищение влечёт административную ответственность с двукратным возмещением стоимости похищенного и возвратом имущества, повторное в течение года — пятикратным; хищение свыше 15.000$ сохраняет квалификацию по Уголовному кодексу.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Административный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6.8. Мелкое хищение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6.8. Мелкое хищение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Мелкое хищение, то есть тайное либо открытое хищение чужого имущества стоимостью, не превышающей 15.000$, — влечёт штраф в двукратном размере стоимости похищенного и возврат имущества законному владельцу.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Мелкое хищение, совершённое повторно в течение одного года, — влечёт штраф в пятикратном размере стоимости похищенного.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Хищение имущества стоимостью свыше 15.000$ влечёт ответственность по статье 10.1 Уголовного кодекса штата San-Andreas.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