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entury Schoolbook" w:hAnsi="Century Schoolbook"/>
          <w:b/>
          <w:color w:val="333333"/>
          <w:sz w:val="74"/>
        </w:rPr>
        <w:t>ACT. 235</w:t>
      </w:r>
    </w:p>
    <w:p/>
    <w:p>
      <w:pPr>
        <w:jc w:val="center"/>
      </w:pPr>
      <w:r>
        <w:rPr>
          <w:rFonts w:ascii="Century Schoolbook" w:hAnsi="Century Schoolbook"/>
          <w:color w:val="333333"/>
          <w:sz w:val="30"/>
        </w:rPr>
        <w:t>IN THE SENATE OF THE STATE OF SAN ANDREAS</w:t>
      </w:r>
    </w:p>
    <w:p>
      <w:pPr>
        <w:jc w:val="center"/>
      </w:pPr>
      <w:r>
        <w:rPr>
          <w:rFonts w:ascii="Century Schoolbook" w:hAnsi="Century Schoolbook"/>
          <w:color w:val="333333"/>
          <w:sz w:val="30"/>
        </w:rPr>
        <w:t>OCTOBER 18, 2026</w:t>
      </w:r>
    </w:p>
    <w:p/>
    <w:p>
      <w:pPr>
        <w:jc w:val="center"/>
      </w:pPr>
      <w:r>
        <w:rPr>
          <w:rFonts w:ascii="Century Schoolbook" w:hAnsi="Century Schoolbook"/>
          <w:color w:val="333333"/>
          <w:sz w:val="60"/>
        </w:rPr>
        <w:t>ЗАКОНОПРОЕКТ</w:t>
      </w:r>
    </w:p>
    <w:p>
      <w:pPr>
        <w:jc w:val="center"/>
      </w:pPr>
      <w:r>
        <w:rPr>
          <w:rFonts w:ascii="Times New Roman" w:hAnsi="Times New Roman"/>
          <w:color w:val="333333"/>
          <w:sz w:val="28"/>
        </w:rPr>
        <w:t>о дополнении Уголовного кодекса штата San-Andreas статьёй 10.3 частью 2</w:t>
      </w:r>
    </w:p>
    <w:p/>
    <w:p>
      <w:r>
        <w:rPr>
          <w:rFonts w:ascii="Times New Roman" w:hAnsi="Times New Roman"/>
          <w:b/>
          <w:color w:val="333333"/>
          <w:sz w:val="24"/>
        </w:rPr>
        <w:t>SECTION 1. СУТЬ ПРАВКИ.</w:t>
      </w:r>
    </w:p>
    <w:p>
      <w:r>
        <w:rPr>
          <w:rFonts w:ascii="Times New Roman" w:hAnsi="Times New Roman"/>
          <w:b/>
          <w:color w:val="333333"/>
          <w:sz w:val="24"/>
        </w:rPr>
        <w:t>Статья 10.3 Уголовного кодекса (Грабеж) содержит только простой состав: открытое хищение чужого имущества. Игровая механика позволяет похищать имущество лица, находящегося в бессознательном состоянии и лишённого возможности защищаться, а также разграблять имущество погибшего, — при этом квалификация остаётся такой же, как при открытом хищении у сопротивляющегося потерпевшего. Предлагается выделить такие действия в квалифицированную часть 2.</w:t>
      </w:r>
    </w:p>
    <w:p>
      <w:r>
        <w:rPr>
          <w:rFonts w:ascii="Times New Roman" w:hAnsi="Times New Roman"/>
          <w:b/>
          <w:color w:val="333333"/>
          <w:sz w:val="24"/>
        </w:rPr>
        <w:t>SECTION. 2. ВНЕСЕНИЕ ПРАВКИ В Уголовный кодекс штата San-Andreas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настоящая редакция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предложенный вариант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10.3 ★★★ [Федеральная/Региональная]</w:t>
            </w:r>
          </w:p>
          <w:p>
            <w:pPr>
              <w:shd w:val="clear" w:fill="F4CCCC"/>
            </w:pPr>
            <w:r>
              <w:rPr>
                <w:rFonts w:ascii="Times New Roman" w:hAnsi="Times New Roman"/>
                <w:color w:val="333333"/>
                <w:sz w:val="24"/>
              </w:rPr>
              <w:t>Грабеж, то есть открытое хищение чужого имущества. Наказание: 3 года лишения свободы.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10.3 ★★★ [Федеральная/Региональная]</w:t>
            </w:r>
          </w:p>
          <w:p>
            <w:pPr>
              <w:shd w:val="clear" w:fill="D9EAD3"/>
            </w:pPr>
            <w:r>
              <w:rPr>
                <w:rFonts w:ascii="Times New Roman" w:hAnsi="Times New Roman"/>
                <w:color w:val="333333"/>
                <w:sz w:val="24"/>
              </w:rPr>
              <w:t>ч. 1. Грабеж, то есть открытое хищение чужого имущества. Наказание: 3 года лишения свободы.</w:t>
            </w:r>
          </w:p>
          <w:p>
            <w:pPr>
              <w:shd w:val="clear" w:fill="D9EAD3"/>
            </w:pPr>
            <w:r>
              <w:rPr>
                <w:rFonts w:ascii="Times New Roman" w:hAnsi="Times New Roman"/>
                <w:color w:val="333333"/>
                <w:sz w:val="24"/>
              </w:rPr>
              <w:t>ч. 2. Грабеж, совершённый в отношении лица, находящегося в бессознательном состоянии либо в ином беспомощном состоянии, а равно разграбление имущества погибшего, Наказание: 6 лет лишения свободы.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