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238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10.9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Конституция штата, Гражданский и Процессуальный кодексы гарантируют неприкосновенность жилища, однако санкций за проникновение в жилище против воли проживающего в нём лица нет: статья 10.1.1 охватывает только кражу со взломом. Игровая механика жилых домов и частных помещений с закрытыми дверями допускает простое проникновение без хищения. Предлагается новая статья 10.9.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10.9. Незаконное проникновение в жилище или иное частное помещение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10.9. Незаконное проникновение в жилище или иное частное помещение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Незаконное проникновение в жилище или иное частное помещение против воли проживающего в нём либо владеющего им лица, — Наказание: штраф в размере 10.000$ или 2 года лишения свободы.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То же деяние, совершённое с применением насилия, не опасного для жизни или здоровья, либо с причинением имущественного вреда, — Наказание: 4 года лишения свободы.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