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entury Schoolbook" w:hAnsi="Century Schoolbook"/>
          <w:b/>
          <w:color w:val="333333"/>
          <w:sz w:val="74"/>
        </w:rPr>
        <w:t>ACT. 240</w:t>
      </w:r>
    </w:p>
    <w:p/>
    <w:p>
      <w:pPr>
        <w:jc w:val="center"/>
      </w:pPr>
      <w:r>
        <w:rPr>
          <w:rFonts w:ascii="Century Schoolbook" w:hAnsi="Century Schoolbook"/>
          <w:color w:val="333333"/>
          <w:sz w:val="30"/>
        </w:rPr>
        <w:t>IN THE SENATE OF THE STATE OF SAN ANDREAS</w:t>
      </w:r>
    </w:p>
    <w:p>
      <w:pPr>
        <w:jc w:val="center"/>
      </w:pPr>
      <w:r>
        <w:rPr>
          <w:rFonts w:ascii="Century Schoolbook" w:hAnsi="Century Schoolbook"/>
          <w:color w:val="333333"/>
          <w:sz w:val="30"/>
        </w:rPr>
        <w:t>OCTOBER 18, 2026</w:t>
      </w:r>
    </w:p>
    <w:p/>
    <w:p>
      <w:pPr>
        <w:jc w:val="center"/>
      </w:pPr>
      <w:r>
        <w:rPr>
          <w:rFonts w:ascii="Century Schoolbook" w:hAnsi="Century Schoolbook"/>
          <w:color w:val="333333"/>
          <w:sz w:val="60"/>
        </w:rPr>
        <w:t>ЗАКОНОПРОЕКТ</w:t>
      </w:r>
    </w:p>
    <w:p>
      <w:pPr>
        <w:jc w:val="center"/>
      </w:pPr>
      <w:r>
        <w:rPr>
          <w:rFonts w:ascii="Times New Roman" w:hAnsi="Times New Roman"/>
          <w:color w:val="333333"/>
          <w:sz w:val="28"/>
        </w:rPr>
        <w:t>о дополнении Закона О регулировании оборота оружия, боеприпасов и спецсредств в штате San-Andreas статьёй 25.1</w:t>
      </w:r>
    </w:p>
    <w:p/>
    <w:p>
      <w:r>
        <w:rPr>
          <w:rFonts w:ascii="Times New Roman" w:hAnsi="Times New Roman"/>
          <w:b/>
          <w:color w:val="333333"/>
          <w:sz w:val="24"/>
        </w:rPr>
        <w:t>SECTION 1. СУТЬ ПРАВКИ.</w:t>
      </w:r>
    </w:p>
    <w:p>
      <w:r>
        <w:rPr>
          <w:rFonts w:ascii="Times New Roman" w:hAnsi="Times New Roman"/>
          <w:b/>
          <w:color w:val="333333"/>
          <w:sz w:val="24"/>
        </w:rPr>
        <w:t>Действующая медицинская справка уже требуется для ношения лёгкого бронежилета (статья 18.1 Закона об оружии) и при выдаче лицензий, указанных в главе X Закона (статья 34), но не требуется при ношении самого оружия (статьи 24-25). Медицинская справка — игровой предмет со сроком действия. Предлагается правило «если нет действующей медицинской справки — оружие изымается; справка не предоставлена в течение 30 суток — лицензия аннулируется».</w:t>
      </w:r>
    </w:p>
    <w:p>
      <w:r>
        <w:rPr>
          <w:rFonts w:ascii="Times New Roman" w:hAnsi="Times New Roman"/>
          <w:b/>
          <w:color w:val="333333"/>
          <w:sz w:val="24"/>
        </w:rPr>
        <w:t>SECTION. 2. ВНЕСЕНИЕ ПРАВКИ В Закон О регулировании оборота оружия, боеприпасов и спецсредств в штате San-Andreas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настоящая редакция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предложенный вариант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25.1. Ношение оружия при наличии действующей медицинской справки</w:t>
            </w:r>
          </w:p>
          <w:p/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25.1. Ношение оружия при наличии действующей медицинской справки</w:t>
            </w:r>
          </w:p>
          <w:p>
            <w:pPr>
              <w:shd w:val="clear" w:fill="D9EAD3"/>
            </w:pPr>
            <w:r>
              <w:rPr>
                <w:rFonts w:ascii="Times New Roman" w:hAnsi="Times New Roman"/>
                <w:color w:val="333333"/>
                <w:sz w:val="24"/>
              </w:rPr>
              <w:t>Граждане вправе носить зарегистрированное огнестрельное оружие только при наличии действующей медицинской справки установленного образца. При отсутствии такой справки оружие подлежит изъятию до её предоставления. Если медицинская справка не предоставлена в течение 30 суток с момента изъятия, лицензия на право владения оружием аннулируется, а оружие, боеприпасы и специальные средства изымаются в порядке статьи 42 настоящего Закона.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