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entury Schoolbook" w:hAnsi="Century Schoolbook"/>
          <w:b/>
          <w:color w:val="333333"/>
          <w:sz w:val="74"/>
        </w:rPr>
        <w:t>ACT. 246</w:t>
      </w:r>
    </w:p>
    <w:p/>
    <w:p>
      <w:pPr>
        <w:jc w:val="center"/>
      </w:pPr>
      <w:r>
        <w:rPr>
          <w:rFonts w:ascii="Century Schoolbook" w:hAnsi="Century Schoolbook"/>
          <w:color w:val="333333"/>
          <w:sz w:val="30"/>
        </w:rPr>
        <w:t>IN THE SENATE OF THE STATE OF SAN ANDREAS</w:t>
      </w:r>
    </w:p>
    <w:p>
      <w:pPr>
        <w:jc w:val="center"/>
      </w:pPr>
      <w:r>
        <w:rPr>
          <w:rFonts w:ascii="Century Schoolbook" w:hAnsi="Century Schoolbook"/>
          <w:color w:val="333333"/>
          <w:sz w:val="30"/>
        </w:rPr>
        <w:t>OCTOBER 18, 2026</w:t>
      </w:r>
    </w:p>
    <w:p/>
    <w:p>
      <w:pPr>
        <w:jc w:val="center"/>
      </w:pPr>
      <w:r>
        <w:rPr>
          <w:rFonts w:ascii="Century Schoolbook" w:hAnsi="Century Schoolbook"/>
          <w:color w:val="333333"/>
          <w:sz w:val="60"/>
        </w:rPr>
        <w:t>ЗАКОНОПРОЕКТ</w:t>
      </w:r>
    </w:p>
    <w:p>
      <w:pPr>
        <w:jc w:val="center"/>
      </w:pPr>
      <w:r>
        <w:rPr>
          <w:rFonts w:ascii="Times New Roman" w:hAnsi="Times New Roman"/>
          <w:color w:val="333333"/>
          <w:sz w:val="28"/>
        </w:rPr>
        <w:t>о дополнении Закона "О деятельности региональных правоохранительных органов" статьёй 26.1</w:t>
      </w:r>
    </w:p>
    <w:p/>
    <w:p>
      <w:r>
        <w:rPr>
          <w:rFonts w:ascii="Times New Roman" w:hAnsi="Times New Roman"/>
          <w:b/>
          <w:color w:val="333333"/>
          <w:sz w:val="24"/>
        </w:rPr>
        <w:t>SECTION 1. СУТЬ ПРАВКИ.</w:t>
      </w:r>
    </w:p>
    <w:p>
      <w:r>
        <w:rPr>
          <w:rFonts w:ascii="Times New Roman" w:hAnsi="Times New Roman"/>
          <w:b/>
          <w:color w:val="333333"/>
          <w:sz w:val="24"/>
        </w:rPr>
        <w:t>Табельное оружие, специальные средства и служебное удостоверение — предметы, которые в игровой механике могут быть похищены у сотрудника. Закон не обязывает сотрудника сообщать об утрате или хищении таких предметов, поэтому оружие бесконтрольно обращается вне службы. Предлагается прямое правило: сообщить в течение текущей смены; сокрытие — увольнение по статье 20 и штраф.</w:t>
      </w:r>
    </w:p>
    <w:p>
      <w:r>
        <w:rPr>
          <w:rFonts w:ascii="Times New Roman" w:hAnsi="Times New Roman"/>
          <w:b/>
          <w:color w:val="333333"/>
          <w:sz w:val="24"/>
        </w:rPr>
        <w:t>SECTION. 2. ВНЕСЕНИЕ ПРАВКИ В Закон "О деятельности региональных правоохранительных органов"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настоящая редакция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предложенный вариант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Статья 26.1. Утрата табельного оружия и специальных средств</w:t>
            </w:r>
          </w:p>
          <w:p/>
        </w:tc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Статья 26.1. Утрата табельного оружия и специальных средств</w:t>
            </w:r>
          </w:p>
          <w:p>
            <w:pPr>
              <w:shd w:val="clear" w:fill="D9EAD3"/>
            </w:pPr>
            <w:r>
              <w:rPr>
                <w:rFonts w:ascii="Times New Roman" w:hAnsi="Times New Roman"/>
                <w:color w:val="333333"/>
                <w:sz w:val="24"/>
              </w:rPr>
              <w:t>Сотрудник обязан в течение текущей смены сообщить непосредственному руководителю и в дежурную часть о хищении либо утрате табельного оружия, боеприпасов, специальных средств, служебного удостоверения или иных средств идентификации. Сокрытие факта хищения либо утраты, а равно несообщение в указанный срок, — влечёт увольнение в порядке статьи 20 настоящего Закона и штраф в размере 3.000$.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