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256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внесении изменений в Закон О Национальной Гвардии штата San-Andreas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pPr>
        <w:jc w:val="both"/>
      </w:pPr>
      <w:r>
        <w:rPr>
          <w:rFonts w:ascii="Times New Roman" w:hAnsi="Times New Roman"/>
          <w:b/>
          <w:color w:val="333333"/>
          <w:sz w:val="24"/>
        </w:rPr>
        <w:t>Часть 7 статьи 2 Закона о Национальной Гвардии обязывает военнослужащих задерживать любое «постороннее лицо», обнаруженное на территории Форта Занкудо и Авианосца, а при невозможности — открывать огонь на поражение без предупреждения. Это положение распространяется и на сотрудников правоохранительных органов, находящихся на территории законно, что делает их пребывание практически невозможным и противоречит статье 4 Приложения № 1 к Уголовному кодексу. Предлагается исключить из категории посторонних лиц сотрудников, находящихся на территории в случаях, предусмотренных Приложением № 1 к Уголовному кодексу либо по пропуску, и установить порядок взаимодействия: уведомление дежурного подразделения о цели пребывания, сопровождение по требованию командования, непрепятствование законной деятельности, запрет вмешательства в контрольно-пропускной режим. Уведомление при преследовании производится непосредственно по прибытии, что согласуется с пунктом «а» части 1 статьи 2 настоящего Закона и статьёй 5 Закона о региональных правоохранительных органах.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Закон О Национальной Гвардии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2. Дислокация сотрудников SANG и территориальная юрисдикция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ч. 7 При обнаружении постороннего лица на территории Форта Занкудо и Авианосца,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2. Дислокация сотрудников SANG и территориальная юрисдикция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ч. 7 При обнаружении постороннего лица на территории Форта Занкудо и Авианосца, военнослужащие должны задержать гражданского если представляется такая возможность, в ином случае, имеют полное право открыть огонь на поражение без предупреждения.</w:t>
            </w:r>
            <w:r>
              <w:rPr>
                <w:rFonts w:ascii="Times New Roman" w:hAnsi="Times New Roman"/>
                <w:color w:val="333333"/>
                <w:sz w:val="24"/>
                <w:shd w:val="clear" w:fill="D9EAD3"/>
              </w:rPr>
              <w:t xml:space="preserve"> Не являются посторонними лицами сотрудники правоохранительных органов, находящиеся на территориях Форта Занкудо и Авианосца в случаях, предусмотренных Приложением № 1 к Уголовному кодексу штата San-Andreas, а равно при наличии пропуска, выданного в порядке, установленном пунктом «л» части 1 настоящей статьи и Приложением № 1 к Уголовному кодексу штата San-Andreas.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2.1. Взаимодействие с региональными правоохранительными органами на объектах Национальной Гвардии</w:t>
            </w:r>
          </w:p>
          <w:p>
            <w:r>
              <w:rPr>
                <w:rFonts w:ascii="Times New Roman" w:hAnsi="Times New Roman"/>
                <w:color w:val="333333"/>
                <w:sz w:val="24"/>
              </w:rPr>
              <w:t>Не предусмотрено.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2.1. Взаимодействие с региональными правоохранительными органами на объектах Национальной Гвардии</w:t>
            </w:r>
          </w:p>
          <w:p>
            <w:r>
              <w:rPr>
                <w:rFonts w:ascii="Times New Roman" w:hAnsi="Times New Roman"/>
                <w:color w:val="333333"/>
                <w:sz w:val="24"/>
                <w:shd w:val="clear" w:fill="D9EAD3"/>
              </w:rPr>
              <w:t>ч. 1. Сотрудники региональных правоохранительных органов, находящиеся на территориях Форт Занкудо и Авианосца в случаях, предусмотренных Приложением № 1 к Уголовному кодексу штата San-Andreas, обязаны незамедлительно уведомить дежурное подразделение Национальной Гвардии о цели пребывания; при преследовании лица — непосредственно по прибытии на территорию. По требованию командования сотрудники правоохранительных органов действуют в сопровождении военнослужащих.</w:t>
            </w:r>
          </w:p>
          <w:p>
            <w:r>
              <w:rPr>
                <w:rFonts w:ascii="Times New Roman" w:hAnsi="Times New Roman"/>
                <w:color w:val="333333"/>
                <w:sz w:val="24"/>
                <w:shd w:val="clear" w:fill="D9EAD3"/>
              </w:rPr>
              <w:t>ч. 2. Военнослужащие Национальной Гвардии не препятствуют законному нахождению и деятельности сотрудников региональных правоохранительных органов на указанных территориях и по их требованию обеспечивают доступ к месту правонарушения.</w:t>
            </w:r>
          </w:p>
          <w:p>
            <w:r>
              <w:rPr>
                <w:rFonts w:ascii="Times New Roman" w:hAnsi="Times New Roman"/>
                <w:color w:val="333333"/>
                <w:sz w:val="24"/>
                <w:shd w:val="clear" w:fill="D9EAD3"/>
              </w:rPr>
              <w:t>ч. 3. Сотрудники региональных правоохранительных органов не вправе вмешиваться в контрольно-пропускной режим и действия военной охраны, за исключением случаев пресечения правонарушения.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