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entury Schoolbook" w:hAnsi="Century Schoolbook"/>
          <w:b/>
          <w:color w:val="333333"/>
          <w:sz w:val="74"/>
        </w:rPr>
        <w:t>ACT. 236</w:t>
      </w:r>
    </w:p>
    <w:p/>
    <w:p>
      <w:pPr>
        <w:jc w:val="center"/>
      </w:pPr>
      <w:r>
        <w:rPr>
          <w:rFonts w:ascii="Century Schoolbook" w:hAnsi="Century Schoolbook"/>
          <w:color w:val="333333"/>
          <w:sz w:val="30"/>
        </w:rPr>
        <w:t>IN THE SENATE OF THE STATE OF SAN ANDREAS</w:t>
      </w:r>
    </w:p>
    <w:p>
      <w:pPr>
        <w:jc w:val="center"/>
      </w:pPr>
      <w:r>
        <w:rPr>
          <w:rFonts w:ascii="Century Schoolbook" w:hAnsi="Century Schoolbook"/>
          <w:color w:val="333333"/>
          <w:sz w:val="30"/>
        </w:rPr>
        <w:t>OCTOBER 18, 2026</w:t>
      </w:r>
    </w:p>
    <w:p/>
    <w:p>
      <w:pPr>
        <w:jc w:val="center"/>
      </w:pPr>
      <w:r>
        <w:rPr>
          <w:rFonts w:ascii="Century Schoolbook" w:hAnsi="Century Schoolbook"/>
          <w:color w:val="333333"/>
          <w:sz w:val="60"/>
        </w:rPr>
        <w:t>ЗАКОНОПРОЕКТ</w:t>
      </w:r>
    </w:p>
    <w:p>
      <w:pPr>
        <w:jc w:val="center"/>
      </w:pPr>
      <w:r>
        <w:rPr>
          <w:rFonts w:ascii="Times New Roman" w:hAnsi="Times New Roman"/>
          <w:color w:val="333333"/>
          <w:sz w:val="28"/>
        </w:rPr>
        <w:t>о дополнении Уголовного кодекса штата San-Andreas статьёй 16.17</w:t>
      </w:r>
    </w:p>
    <w:p/>
    <w:p>
      <w:r>
        <w:rPr>
          <w:rFonts w:ascii="Times New Roman" w:hAnsi="Times New Roman"/>
          <w:b/>
          <w:color w:val="333333"/>
          <w:sz w:val="24"/>
        </w:rPr>
        <w:t>SECTION 1. СУТЬ ПРАВКИ.</w:t>
      </w:r>
    </w:p>
    <w:p>
      <w:r>
        <w:rPr>
          <w:rFonts w:ascii="Times New Roman" w:hAnsi="Times New Roman"/>
          <w:b/>
          <w:color w:val="333333"/>
          <w:sz w:val="24"/>
        </w:rPr>
        <w:t>Статья 16.15 Уголовного кодекса карает только само лицо, уклоняющееся от отбывания наказания. Побег из исправительного учреждения в игровой механике достигается, как правило, с помощью посторонних: передача орудий, устранение препятствий, сообщение сведений об охране. Такие действия пособников сейчас не образуют состава преступления. Предлагается новая статья 16.17, устраняющая этот пробел.</w:t>
      </w:r>
    </w:p>
    <w:p>
      <w:r>
        <w:rPr>
          <w:rFonts w:ascii="Times New Roman" w:hAnsi="Times New Roman"/>
          <w:b/>
          <w:color w:val="333333"/>
          <w:sz w:val="24"/>
        </w:rPr>
        <w:t>SECTION. 2. ВНЕСЕНИЕ ПРАВКИ В Уголовный кодекс штата San-Andreas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rFonts w:ascii="Times New Roman" w:hAnsi="Times New Roman"/>
                <w:color w:val="333333"/>
                <w:sz w:val="24"/>
              </w:rPr>
              <w:t>настоящая редакция</w:t>
            </w:r>
          </w:p>
        </w:tc>
        <w:tc>
          <w:tcPr>
            <w:tcW w:type="dxa" w:w="4680"/>
          </w:tcPr>
          <w:p>
            <w:r>
              <w:rPr>
                <w:rFonts w:ascii="Times New Roman" w:hAnsi="Times New Roman"/>
                <w:color w:val="333333"/>
                <w:sz w:val="24"/>
              </w:rPr>
              <w:t>предложенный вариант</w:t>
            </w:r>
          </w:p>
        </w:tc>
      </w:tr>
      <w:tr>
        <w:tc>
          <w:tcPr>
            <w:tcW w:type="dxa" w:w="4680"/>
          </w:tcPr>
          <w:p>
            <w:r>
              <w:rPr>
                <w:rFonts w:ascii="Times New Roman" w:hAnsi="Times New Roman"/>
                <w:color w:val="333333"/>
                <w:sz w:val="24"/>
              </w:rPr>
              <w:t>Статья 16.17. Содействие побегу из мест лишения свободы</w:t>
            </w:r>
          </w:p>
          <w:p/>
          <w:p/>
        </w:tc>
        <w:tc>
          <w:tcPr>
            <w:tcW w:type="dxa" w:w="4680"/>
          </w:tcPr>
          <w:p>
            <w:r>
              <w:rPr>
                <w:rFonts w:ascii="Times New Roman" w:hAnsi="Times New Roman"/>
                <w:color w:val="333333"/>
                <w:sz w:val="24"/>
              </w:rPr>
              <w:t>Статья 16.17. Содействие побегу из мест лишения свободы</w:t>
            </w:r>
          </w:p>
          <w:p>
            <w:pPr>
              <w:shd w:val="clear" w:fill="D9EAD3"/>
            </w:pPr>
            <w:r>
              <w:rPr>
                <w:rFonts w:ascii="Times New Roman" w:hAnsi="Times New Roman"/>
                <w:color w:val="333333"/>
                <w:sz w:val="24"/>
              </w:rPr>
              <w:t>ч. 1. Содействие побегу лица, отбывающего лишение свободы или содержащегося под стражей, — передача орудий или средств побега, создание условий для побега, устранение препятствий, сообщение сведений, используемых для побега, — Наказание: 5 лет лишения свободы.</w:t>
            </w:r>
          </w:p>
          <w:p>
            <w:pPr>
              <w:shd w:val="clear" w:fill="D9EAD3"/>
            </w:pPr>
            <w:r>
              <w:rPr>
                <w:rFonts w:ascii="Times New Roman" w:hAnsi="Times New Roman"/>
                <w:color w:val="333333"/>
                <w:sz w:val="24"/>
              </w:rPr>
              <w:t>ч. 2. То же деяние, совершённое с применением насилия либо группой лиц по предварительному сговору, — Наказание: 8 лет лишения свободы.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