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entury Schoolbook" w:hAnsi="Century Schoolbook"/>
          <w:b/>
          <w:color w:val="333333"/>
          <w:sz w:val="74"/>
        </w:rPr>
        <w:t>ACT. 245</w:t>
      </w:r>
    </w:p>
    <w:p/>
    <w:p>
      <w:pPr>
        <w:jc w:val="center"/>
      </w:pPr>
      <w:r>
        <w:rPr>
          <w:rFonts w:ascii="Century Schoolbook" w:hAnsi="Century Schoolbook"/>
          <w:color w:val="333333"/>
          <w:sz w:val="30"/>
        </w:rPr>
        <w:t>IN THE SENATE OF THE STATE OF SAN ANDREAS</w:t>
      </w:r>
    </w:p>
    <w:p>
      <w:pPr>
        <w:jc w:val="center"/>
      </w:pPr>
      <w:r>
        <w:rPr>
          <w:rFonts w:ascii="Century Schoolbook" w:hAnsi="Century Schoolbook"/>
          <w:color w:val="333333"/>
          <w:sz w:val="30"/>
        </w:rPr>
        <w:t>OCTOBER 18, 2026</w:t>
      </w:r>
    </w:p>
    <w:p/>
    <w:p>
      <w:pPr>
        <w:jc w:val="center"/>
      </w:pPr>
      <w:r>
        <w:rPr>
          <w:rFonts w:ascii="Century Schoolbook" w:hAnsi="Century Schoolbook"/>
          <w:color w:val="333333"/>
          <w:sz w:val="60"/>
        </w:rPr>
        <w:t>ЗАКОНОПРОЕКТ</w:t>
      </w:r>
    </w:p>
    <w:p>
      <w:pPr>
        <w:jc w:val="center"/>
      </w:pPr>
      <w:r>
        <w:rPr>
          <w:rFonts w:ascii="Times New Roman" w:hAnsi="Times New Roman"/>
          <w:color w:val="333333"/>
          <w:sz w:val="28"/>
        </w:rPr>
        <w:t>о дополнении Процессуального кодекса штата San-Andreas статьёй 22.1</w:t>
      </w:r>
    </w:p>
    <w:p/>
    <w:p>
      <w:r>
        <w:rPr>
          <w:rFonts w:ascii="Times New Roman" w:hAnsi="Times New Roman"/>
          <w:b/>
          <w:color w:val="333333"/>
          <w:sz w:val="24"/>
        </w:rPr>
        <w:t>SECTION 1. СУТЬ ПРАВКИ.</w:t>
      </w:r>
    </w:p>
    <w:p>
      <w:r>
        <w:rPr>
          <w:rFonts w:ascii="Times New Roman" w:hAnsi="Times New Roman"/>
          <w:b/>
          <w:color w:val="333333"/>
          <w:sz w:val="24"/>
        </w:rPr>
        <w:t>Порядок задержания (статьи 16-17 Процессуального кодекса) не определяет, какое имущество подлежит изъятию у задержанного, что допускает изъятие денег и личных вещей без каких-либо оснований. Предлагается закрытый перечень изымаемого: оружие, боеприпасы, специальные средства, наркотические средства и предметы правонарушения; деньги и ценности изымаются только при наличии оснований полагать их предметом правонарушения, о чём составляется протокол с описью.</w:t>
      </w:r>
    </w:p>
    <w:p>
      <w:r>
        <w:rPr>
          <w:rFonts w:ascii="Times New Roman" w:hAnsi="Times New Roman"/>
          <w:b/>
          <w:color w:val="333333"/>
          <w:sz w:val="24"/>
        </w:rPr>
        <w:t>SECTION. 2. ВНЕСЕНИЕ ПРАВКИ В Процессуальный кодекс штата San-Andreas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настоящая редакция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предложенный вариант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22.1. Перечень имущества, изымаемого при задержании</w:t>
            </w:r>
          </w:p>
          <w:p/>
          <w:p/>
          <w:p/>
        </w:tc>
        <w:tc>
          <w:tcPr>
            <w:tcW w:type="dxa" w:w="4680"/>
          </w:tcPr>
          <w:p>
            <w:r>
              <w:rPr>
                <w:rFonts w:ascii="Times New Roman" w:hAnsi="Times New Roman"/>
                <w:color w:val="333333"/>
                <w:sz w:val="24"/>
              </w:rPr>
              <w:t>Статья 22.1. Перечень имущества, изымаемого при задержании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1. При задержании подозреваемого, личном досмотре и досмотре вещей изъятию подлежат только: оружие, боеприпасы, специальные средства, наркотические средства, предметы, служившие орудиями или предметами правонарушения, а также иные вещи и документы, могущие иметь значение для дела.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2. Денежные средства, ювелирные изделия и иное личное имущество не подлежат изъятию при отсутствии оснований полагать их предметами правонарушения либо полученными преступным путём.</w:t>
            </w:r>
          </w:p>
          <w:p>
            <w:pPr>
              <w:shd w:val="clear" w:fill="D9EAD3"/>
            </w:pPr>
            <w:r>
              <w:rPr>
                <w:rFonts w:ascii="Times New Roman" w:hAnsi="Times New Roman"/>
                <w:color w:val="333333"/>
                <w:sz w:val="24"/>
              </w:rPr>
              <w:t>ч. 3. О каждом изъятии составляется протокол с описью изъятого имущества; копия протокола вручается задержанному.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