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248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Уголовного кодекса штата San-Andreas статьёй 10.5.2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Закон об оружии (статья 20) предусматривает транспортировку оружия и специальных средств транспортными колоннами под охраной, однако нападение на такую колонну квалифицируется как обычный разбой. Нападение на конвоируемую колонну — отдельная игровая механика с заранее планируемым нападением и противодействием охране. Предлагается квалифицированный состав в новой статье 10.5.2.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10.5.2. Нападение на транспортную колонну с государственными грузами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10.5.2. Нападение на транспортную колонну с государственными грузами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Нападение на транспортную колонну, перевозящую государственные грузы, с целью хищения такого груза, — Наказание: 8 лет лишения свободы с конфискацией имущества.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То же деяние, совершённое с применением оружия или специальных средств, либо повлёкшее причинение вреда здоровью потерпевших, — Наказание: 12 лет лишения свободы с конфискацией имущества.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