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entury Schoolbook" w:hAnsi="Century Schoolbook"/>
          <w:b/>
          <w:color w:val="333333"/>
          <w:sz w:val="74"/>
        </w:rPr>
        <w:t>ACT. 253</w:t>
      </w:r>
    </w:p>
    <w:p/>
    <w:p>
      <w:pPr>
        <w:jc w:val="center"/>
      </w:pPr>
      <w:r>
        <w:rPr>
          <w:rFonts w:ascii="Century Schoolbook" w:hAnsi="Century Schoolbook"/>
          <w:color w:val="333333"/>
          <w:sz w:val="30"/>
        </w:rPr>
        <w:t>IN THE SENATE OF THE STATE OF SAN ANDREAS</w:t>
      </w:r>
    </w:p>
    <w:p>
      <w:pPr>
        <w:jc w:val="center"/>
      </w:pPr>
      <w:r>
        <w:rPr>
          <w:rFonts w:ascii="Century Schoolbook" w:hAnsi="Century Schoolbook"/>
          <w:color w:val="333333"/>
          <w:sz w:val="30"/>
        </w:rPr>
        <w:t>OCTOBER 18, 2026</w:t>
      </w:r>
    </w:p>
    <w:p/>
    <w:p>
      <w:pPr>
        <w:jc w:val="center"/>
      </w:pPr>
      <w:r>
        <w:rPr>
          <w:rFonts w:ascii="Century Schoolbook" w:hAnsi="Century Schoolbook"/>
          <w:color w:val="333333"/>
          <w:sz w:val="60"/>
        </w:rPr>
        <w:t>ЗАКОНОПРОЕКТ</w:t>
      </w:r>
    </w:p>
    <w:p>
      <w:pPr>
        <w:jc w:val="center"/>
      </w:pPr>
      <w:r>
        <w:rPr>
          <w:rFonts w:ascii="Times New Roman" w:hAnsi="Times New Roman"/>
          <w:color w:val="333333"/>
          <w:sz w:val="28"/>
        </w:rPr>
        <w:t>о дополнении Дорожного кодекса штата San-Andreas статьёй 3.1</w:t>
      </w:r>
    </w:p>
    <w:p/>
    <w:p>
      <w:r>
        <w:rPr>
          <w:rFonts w:ascii="Times New Roman" w:hAnsi="Times New Roman"/>
          <w:b/>
          <w:color w:val="333333"/>
          <w:sz w:val="24"/>
        </w:rPr>
        <w:t>SECTION 1. СУТЬ ПРАВКИ.</w:t>
      </w:r>
    </w:p>
    <w:p>
      <w:r>
        <w:rPr>
          <w:rFonts w:ascii="Times New Roman" w:hAnsi="Times New Roman"/>
          <w:b/>
          <w:color w:val="333333"/>
          <w:sz w:val="24"/>
        </w:rPr>
        <w:t>Причинение смерти в дорожно-транспортном происшествии наказуемо по статье 6.2 Уголовного кодекса, однако водительское удостоверение за такое происшествие может быть возвращено после возврата по статье 4 Дорожного кодекса. Водительское удостоверение — игровой предмет. Предлагается прямое правило: виновен в ДТП со смертью — право управления пожизненно утрачивается, удостоверение изымается и не возвращается.</w:t>
      </w:r>
    </w:p>
    <w:p>
      <w:r>
        <w:rPr>
          <w:rFonts w:ascii="Times New Roman" w:hAnsi="Times New Roman"/>
          <w:b/>
          <w:color w:val="333333"/>
          <w:sz w:val="24"/>
        </w:rPr>
        <w:t>SECTION. 2. ВНЕСЕНИЕ ПРАВКИ В Дорожный кодекс штата San-Andreas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настоящая редакция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предложенный вариант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3.1. Пожизненное лишение права управления транспортными средствами</w:t>
            </w:r>
          </w:p>
          <w:p/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3.1. Пожизненное лишение права управления транспортными средствами</w:t>
            </w:r>
          </w:p>
          <w:p>
            <w:pPr>
              <w:shd w:val="clear" w:fill="D9EAD3"/>
            </w:pPr>
            <w:r>
              <w:rPr>
                <w:rFonts w:ascii="Times New Roman" w:hAnsi="Times New Roman"/>
                <w:color w:val="333333"/>
                <w:sz w:val="24"/>
              </w:rPr>
              <w:t>Лица, признанные виновными в дорожно-транспортном происшествии, повлёкшем смерть человека, пожизненно лишаются права управления транспортными средствами. Водительское удостоверение изымается и аннулируется, возврат права управления не производится.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