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ACT. 225–229 — Пояснение к исправлениям</w:t>
      </w:r>
    </w:p>
    <w:p/>
    <w:p>
      <w:pPr>
        <w:spacing w:after="60"/>
      </w:pPr>
      <w:r>
        <w:t>Настоящее пояснение обосновывает каждое исправление, внесённое законопроектами ACT. 225 — ACT. 229 «Технические исправления». Каждый законопроект вносит правки в один законодательный акт: ACT. 225 — в Закон о Национальной Гвардии, ACT. 226 — в Процессуальный кодекс, ACT. 227 — в Дорожный кодекс, ACT. 228 — в Закон «О системе ордеров», ACT. 229 — в Конституционный закон «О судебной системе». Все правки носят редакционный (технический) характер: они устраняют описки в воинских званиях и номерах статей, повторное изложение одних и тех же норм и разрывы в буквенных обозначениях пунктов. Полномочия, права, обязанности и ответственность, установленные действующим законодательством, не изменяются. Локальные нормативные акты (уставы, регламенты, правила) правками не затрагиваются.</w:t>
      </w:r>
    </w:p>
    <w:p>
      <w:pPr>
        <w:spacing w:before="200" w:after="60"/>
      </w:pPr>
      <w:r>
        <w:rPr>
          <w:b/>
        </w:rPr>
        <w:t>1. ACT. 225. Закон о Национальной Гвардии, статья 5: «Полковник» → «Генерал»</w:t>
      </w:r>
    </w:p>
    <w:p>
      <w:pPr>
        <w:spacing w:after="60"/>
      </w:pPr>
      <w:r>
        <w:rPr>
          <w:b/>
        </w:rPr>
        <w:t xml:space="preserve">Было. </w:t>
      </w:r>
      <w:r>
        <w:t>«…л) Полковник Национальной Гвардии имеет право установить регламент посещения и пребывания на территории ФЗ с согласованием Генерального прокурора»; «…при согласовании с Полковник SANG».</w:t>
      </w:r>
    </w:p>
    <w:p>
      <w:pPr>
        <w:spacing w:after="60"/>
      </w:pPr>
      <w:r>
        <w:rPr>
          <w:b/>
        </w:rPr>
        <w:t xml:space="preserve">Стало. </w:t>
      </w:r>
      <w:r>
        <w:t>«…л) Генерал Национальной Гвардии имеет право…»; «…при согласовании с Генералом SANG».</w:t>
      </w:r>
    </w:p>
    <w:p>
      <w:pPr>
        <w:spacing w:after="60"/>
      </w:pPr>
      <w:r>
        <w:rPr>
          <w:b/>
        </w:rPr>
        <w:t xml:space="preserve">Почему. </w:t>
      </w:r>
      <w:r>
        <w:t>Во главе San-Andreas National Guard стоит General (Генерал) — именно он является лидером фракции: по Уставу SANG «руководством SANG являются Генералитет и Старший состав», «во главе San-Andreas National Guard стоит General». Полковник (Colonel) — звание старших офицеров, командующих своим подразделением, и полномочия уровня «согласование с Генеральным прокурором» ему не принадлежат. Прямое подтверждение — тот же пункт в статье 2 Закона: «Генерал Национальной Гвардии имеет право установить регламент посещения и пребывания на территории ФЗ…»; в статье 5 написано «Полковник» — это описка. Заодно исправлена грамматическая форма «с Полковник SANG» → «с Генералом SANG».</w:t>
      </w:r>
    </w:p>
    <w:p>
      <w:pPr>
        <w:spacing w:before="200" w:after="60"/>
      </w:pPr>
      <w:r>
        <w:rPr>
          <w:b/>
        </w:rPr>
        <w:t>2. ACT. 225. Закон о Национальной Гвардии, статья 2: удалены пункты л) и м) с примечанием</w:t>
      </w:r>
    </w:p>
    <w:p>
      <w:pPr>
        <w:spacing w:after="60"/>
      </w:pPr>
      <w:r>
        <w:rPr>
          <w:b/>
        </w:rPr>
        <w:t xml:space="preserve">Было. </w:t>
      </w:r>
      <w:r>
        <w:t>В статье 2 «Дислокация сотрудников SANG и территориальная юрисдикция» после пункта к) шли пункт л) «Генерал Национальной Гвардии имеет право установить регламент посещения…», пункт м) «сотрудники подразделения Military Police вправе провести обыск личного состава и их транспортных средств…» и примечание об обыске подразделения.</w:t>
      </w:r>
    </w:p>
    <w:p>
      <w:pPr>
        <w:spacing w:after="60"/>
      </w:pPr>
      <w:r>
        <w:rPr>
          <w:b/>
        </w:rPr>
        <w:t xml:space="preserve">Стало. </w:t>
      </w:r>
      <w:r>
        <w:t>Пункты л) и м) с примечанием удалены. Полномочия сохранены в статье 5 «Общие полномочия войск Национальной Гвардии штата Сан Андреас».</w:t>
      </w:r>
    </w:p>
    <w:p>
      <w:pPr>
        <w:spacing w:after="60"/>
      </w:pPr>
      <w:r>
        <w:rPr>
          <w:b/>
        </w:rPr>
        <w:t xml:space="preserve">Почему. </w:t>
      </w:r>
      <w:r>
        <w:t>Эти три абзаца повторяют пункты л), м) и примечание статьи 5 — одни и те же нормы были изложены в Законе дважды. По содержанию они относятся к общим полномочиям войск (статья 5), а не к дислокации и юрисдикции (статья 2). Оставлен один текст — в статье 5, где общий перечень полномочий изложен последовательно.</w:t>
      </w:r>
    </w:p>
    <w:p>
      <w:pPr>
        <w:spacing w:before="200" w:after="60"/>
      </w:pPr>
      <w:r>
        <w:rPr>
          <w:b/>
        </w:rPr>
        <w:t>3. ACT. 225. Закон о Национальной Гвардии, статья 5: устранено повторение буквы «м)»</w:t>
      </w:r>
    </w:p>
    <w:p>
      <w:pPr>
        <w:spacing w:after="60"/>
      </w:pPr>
      <w:r>
        <w:rPr>
          <w:b/>
        </w:rPr>
        <w:t xml:space="preserve">Было. </w:t>
      </w:r>
      <w:r>
        <w:t>В перечне пунктов после «н)» снова шло «м)», далее «о)» — буква «м)» использована дважды.</w:t>
      </w:r>
    </w:p>
    <w:p>
      <w:pPr>
        <w:spacing w:after="60"/>
      </w:pPr>
      <w:r>
        <w:rPr>
          <w:b/>
        </w:rPr>
        <w:t xml:space="preserve">Стало. </w:t>
      </w:r>
      <w:r>
        <w:t>Повторный пункт «м)» переименован в «о)», прежний пункт «о)» — в «п)».</w:t>
      </w:r>
    </w:p>
    <w:p>
      <w:pPr>
        <w:spacing w:after="60"/>
      </w:pPr>
      <w:r>
        <w:rPr>
          <w:b/>
        </w:rPr>
        <w:t xml:space="preserve">Почему. </w:t>
      </w:r>
      <w:r>
        <w:t>Буквенные обозначения пунктов идут в алфавитном порядке: а), б), в)… Повтор буквы — техническая ошибка при вставке пункта. Содержание пунктов не меняется — исправлены только обозначения, и перечень приведён к последовательности а)…п).</w:t>
      </w:r>
    </w:p>
    <w:p>
      <w:pPr>
        <w:spacing w:before="200" w:after="60"/>
      </w:pPr>
      <w:r>
        <w:rPr>
          <w:b/>
        </w:rPr>
        <w:t>4. ACT. 226. Процессуальный кодекс, статья 62: «главе 4» → «главе 3»</w:t>
      </w:r>
    </w:p>
    <w:p>
      <w:pPr>
        <w:spacing w:after="60"/>
      </w:pPr>
      <w:r>
        <w:rPr>
          <w:b/>
        </w:rPr>
        <w:t xml:space="preserve">Было. </w:t>
      </w:r>
      <w:r>
        <w:t>«Основания и порядок задержания, а также основания освобождения подозреваемого установлены в главе 4 Настоящего Кодекса».</w:t>
      </w:r>
    </w:p>
    <w:p>
      <w:pPr>
        <w:spacing w:after="60"/>
      </w:pPr>
      <w:r>
        <w:rPr>
          <w:b/>
        </w:rPr>
        <w:t xml:space="preserve">Стало. </w:t>
      </w:r>
      <w:r>
        <w:t>«…установлены в главе 3 Настоящего Кодекса».</w:t>
      </w:r>
    </w:p>
    <w:p>
      <w:pPr>
        <w:spacing w:after="60"/>
      </w:pPr>
      <w:r>
        <w:rPr>
          <w:b/>
        </w:rPr>
        <w:t xml:space="preserve">Почему. </w:t>
      </w:r>
      <w:r>
        <w:t>Главы IV в Кодексе нет: после «Главы III. Процесс задержания» сразу идёт «Глава V. Процесс ареста». Задержание регулирует именно глава III «Процесс задержания», и отсылка в статье 62 «Задержание» должна вести к ней.</w:t>
      </w:r>
    </w:p>
    <w:p>
      <w:pPr>
        <w:spacing w:before="200" w:after="60"/>
      </w:pPr>
      <w:r>
        <w:rPr>
          <w:b/>
        </w:rPr>
        <w:t>5. ACT. 226. Процессуальный кодекс, статья 76: пункт «л)» → «ж)»</w:t>
      </w:r>
    </w:p>
    <w:p>
      <w:pPr>
        <w:spacing w:after="60"/>
      </w:pPr>
      <w:r>
        <w:rPr>
          <w:b/>
        </w:rPr>
        <w:t xml:space="preserve">Было. </w:t>
      </w:r>
      <w:r>
        <w:t>В перечне сведений обвинительного заключения шли а)…е), а затем «л)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Стало. </w:t>
      </w:r>
      <w:r>
        <w:t>«ж)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Почему. </w:t>
      </w:r>
      <w:r>
        <w:t>Пункт седьмой по счёту, но обозначен «л)»: между «е)» и «л)» пропущены ж), з), и), к). Это разрыв нумерации, возникший при вставке пункта. Исправление обозначения на «ж)» восстанавливает последовательность а), б), в)…; содержание пункта не меняется.</w:t>
      </w:r>
    </w:p>
    <w:p>
      <w:pPr>
        <w:spacing w:before="200" w:after="60"/>
      </w:pPr>
      <w:r>
        <w:rPr>
          <w:b/>
        </w:rPr>
        <w:t>6. ACT. 227. Дорожный кодекс, статьи 70 и 71: «статьи 13.6» → «статьи 13.5» Уголовного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«…объективным признаком возможного нарушения статьи 13.6 Уголовного кодекса…» (часть 2 статьи 70); «…квалифицируется в соответствии со статьей 13.6 Уголовного кодекса» (часть 2 статьи 71).</w:t>
      </w:r>
    </w:p>
    <w:p>
      <w:pPr>
        <w:spacing w:after="60"/>
      </w:pPr>
      <w:r>
        <w:rPr>
          <w:b/>
        </w:rPr>
        <w:t xml:space="preserve">Стало. </w:t>
      </w:r>
      <w:r>
        <w:t>Указание на статью 13.5 Уголовного кодекса.</w:t>
      </w:r>
    </w:p>
    <w:p>
      <w:pPr>
        <w:spacing w:after="60"/>
      </w:pPr>
      <w:r>
        <w:rPr>
          <w:b/>
        </w:rPr>
        <w:t xml:space="preserve">Почему. </w:t>
      </w:r>
      <w:r>
        <w:t>Статьи 13.6 Уголовного кодекса не существует. Нарушения, о которых идёт речь, — перевозка грузов с использованием поддельной накладной, — предусмотрены статьёй 13.5 «Незаконная перевозка грузов с использованием поддельных товаросопроводительных документов». Ссылка исправлена на существующую и содержательно точно соответствующую статью.</w:t>
      </w:r>
    </w:p>
    <w:p>
      <w:pPr>
        <w:spacing w:before="200" w:after="60"/>
      </w:pPr>
      <w:r>
        <w:rPr>
          <w:b/>
        </w:rPr>
        <w:t>7. ACT. 228. Закон «О системе ордеров», статья 8: «статьи 19» → «статьи 12» Процессуального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«…влечет признание полученных доказательств недопустимыми в порядке статьи 19 Процессуального кодекса штата San-Andreas».</w:t>
      </w:r>
    </w:p>
    <w:p>
      <w:pPr>
        <w:spacing w:after="60"/>
      </w:pPr>
      <w:r>
        <w:rPr>
          <w:b/>
        </w:rPr>
        <w:t xml:space="preserve">Стало. </w:t>
      </w:r>
      <w:r>
        <w:t>«…в порядке статьи 12 Процессуального кодекса штата San-Andreas».</w:t>
      </w:r>
    </w:p>
    <w:p>
      <w:pPr>
        <w:spacing w:after="60"/>
      </w:pPr>
      <w:r>
        <w:rPr>
          <w:b/>
        </w:rPr>
        <w:t xml:space="preserve">Почему. </w:t>
      </w:r>
      <w:r>
        <w:t>Недопустимость доказательств регулирует статья 12 ПК «Недопустимые доказательства». Статья 19 ПК — «Уведомление о задержании» — к порядку признания доказательств недопустимыми отношения не имеет. Отсылка была ошибочной и исправлена на статью по предмету регулирования.</w:t>
      </w:r>
    </w:p>
    <w:p>
      <w:pPr>
        <w:spacing w:before="200" w:after="60"/>
      </w:pPr>
      <w:r>
        <w:rPr>
          <w:b/>
        </w:rPr>
        <w:t>8. ACT. 229. Конституционный закон «О судебной системе», статьи 38 и 49: удалены дублирующие части</w:t>
      </w:r>
    </w:p>
    <w:p>
      <w:pPr>
        <w:spacing w:after="60"/>
      </w:pPr>
      <w:r>
        <w:rPr>
          <w:b/>
        </w:rPr>
        <w:t xml:space="preserve">Было. </w:t>
      </w:r>
      <w:r>
        <w:t>В статье 38 после части 10.2 шла часть 11, дословно повторяющая часть 10.1 («В случае признания иска ответчиком в мотивировочной части решения суда может быть указано только на признание иска и принятие его судом»). В статье 49 после части 6 шла часть 7, дословно повторяющая часть 5 («Если решением суда назначено наказание, связанное с лишением свободы, его исполнение осуществляется судебными приставами…»).</w:t>
      </w:r>
    </w:p>
    <w:p>
      <w:pPr>
        <w:spacing w:after="60"/>
      </w:pPr>
      <w:r>
        <w:rPr>
          <w:b/>
        </w:rPr>
        <w:t xml:space="preserve">Стало. </w:t>
      </w:r>
      <w:r>
        <w:t>Часть 11 статьи 38 и часть 7 статьи 49 удалены.</w:t>
      </w:r>
    </w:p>
    <w:p>
      <w:pPr>
        <w:spacing w:after="60"/>
      </w:pPr>
      <w:r>
        <w:rPr>
          <w:b/>
        </w:rPr>
        <w:t xml:space="preserve">Почему. </w:t>
      </w:r>
      <w:r>
        <w:t>Это технические дубли: одно и то же правило продублировано внутри одной статьи при последующих правках. Норма сохранена в первоначальных частях (10.1 и 5), удалены именно хвостовые повторы — так не затрагивается нумерация остальных частей статей.</w:t>
      </w:r>
    </w:p>
    <w:p>
      <w:pPr>
        <w:spacing w:before="200" w:after="60"/>
      </w:pPr>
      <w:r>
        <w:rPr>
          <w:b/>
        </w:rPr>
        <w:t>Что не исправлялось</w:t>
      </w:r>
    </w:p>
    <w:p>
      <w:pPr>
        <w:spacing w:after="60"/>
      </w:pPr>
      <w:r>
        <w:t>Буквы «ё» и «й» в перечнях пунктов (например, ё) после е), й) после и)) не тронуты: такие списки идут в полном алфавитном порядке — это принятый стиль изложения, а не ошибка нумерации.</w:t>
      </w:r>
    </w:p>
    <w:p>
      <w:pPr>
        <w:spacing w:after="60"/>
      </w:pPr>
      <w:r>
        <w:t>Одинаковые перечни в разных частях одной статьи (например, части 1 и 2 статьи 5 Уголовного кодекса) и совпадающие формулировки санкций в разных статьях не тронуты: это параллельные нормы, а не ошибочные повторы.</w:t>
      </w:r>
    </w:p>
    <w:p>
      <w:pPr>
        <w:spacing w:after="60"/>
      </w:pPr>
      <w:r>
        <w:t>Локальные нормативные акты (Уставы SANG, USSS, регламенты, правила, формы) в проверку не входили: исправления вносятся только в законы и кодексы.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