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262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Процессуальный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Законопроект направлен на устранение правовой коллизии путем замены недействительной ссылки на статью 6.6 Уголовного кодекса ссылкой на действующую статью 7.4, устанавливающую ответственность за клевету.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Процессуальный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75, ч.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Уголовные дела о преступлениях, предусмотренных статьей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6.6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Уголовного кодекса штата San-Andreas, считаются уголовными делами частного обвинения, возбуждаются не иначе как по заявлению потерпевшего, его законного представителя, за исключением случаев, преду смотренных частью четвертой настоящей статьи, и подлежат прекращению в связи с примирением потерпевшего с обвиняемым. Примирение сторон допускается до направления уголовного дела в суд.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75, ч.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Уголовные дела о преступлениях, предусмотренных статьей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7.4 частью первой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Уголовного кодекса штата San-Andreas, считаются уголовными делами частного обвинения, возбуждаются не иначе как по заявлению потерпевшего, его законного представителя, за исключением случаев, преду смотренных частью четвертой настоящей статьи, и подлежат прекращению в связи с примирением потерпевшего с обвиняемым. Примирение сторон допускается до направления уголовного дела в суд.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