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Schoolbook" w:cs="Century Schoolbook" w:eastAsia="Century Schoolbook" w:hAnsi="Century Schoolbook"/>
          <w:b w:val="1"/>
          <w:bCs w:val="1"/>
          <w:color w:val="333333"/>
          <w:sz w:val="74"/>
          <w:szCs w:val="7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333333"/>
          <w:sz w:val="74"/>
          <w:szCs w:val="74"/>
          <w:rtl w:val="0"/>
        </w:rPr>
        <w:t xml:space="preserve">ACT. 244</w:t>
      </w:r>
    </w:p>
    <w:p w:rsidR="00000000" w:rsidDel="00000000" w:rsidP="00000000" w:rsidRDefault="00000000" w:rsidRPr="00000000" w14:paraId="00000002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entury Schoolbook" w:cs="Century Schoolbook" w:eastAsia="Century Schoolbook" w:hAnsi="Century Schoolbook"/>
          <w:color w:val="333333"/>
          <w:sz w:val="30"/>
          <w:szCs w:val="30"/>
        </w:rPr>
      </w:pPr>
      <w:r w:rsidDel="00000000" w:rsidR="00000000" w:rsidRPr="00000000">
        <w:rPr>
          <w:rFonts w:ascii="Century Schoolbook" w:cs="Century Schoolbook" w:eastAsia="Century Schoolbook" w:hAnsi="Century Schoolbook"/>
          <w:color w:val="333333"/>
          <w:sz w:val="30"/>
          <w:szCs w:val="30"/>
          <w:rtl w:val="0"/>
        </w:rPr>
        <w:t xml:space="preserve">IN THE SENATE OF THE STATE OF SAN ANDREAS</w:t>
      </w:r>
    </w:p>
    <w:p w:rsidR="00000000" w:rsidDel="00000000" w:rsidP="00000000" w:rsidRDefault="00000000" w:rsidRPr="00000000" w14:paraId="00000004">
      <w:pPr>
        <w:jc w:val="center"/>
        <w:rPr>
          <w:rFonts w:ascii="Century Schoolbook" w:cs="Century Schoolbook" w:eastAsia="Century Schoolbook" w:hAnsi="Century Schoolbook"/>
          <w:color w:val="333333"/>
          <w:sz w:val="30"/>
          <w:szCs w:val="30"/>
        </w:rPr>
      </w:pPr>
      <w:r w:rsidDel="00000000" w:rsidR="00000000" w:rsidRPr="00000000">
        <w:rPr>
          <w:rFonts w:ascii="Century Schoolbook" w:cs="Century Schoolbook" w:eastAsia="Century Schoolbook" w:hAnsi="Century Schoolbook"/>
          <w:color w:val="333333"/>
          <w:sz w:val="30"/>
          <w:szCs w:val="30"/>
          <w:rtl w:val="0"/>
        </w:rPr>
        <w:t xml:space="preserve">OCTOBER 21, 2026</w:t>
      </w:r>
    </w:p>
    <w:p w:rsidR="00000000" w:rsidDel="00000000" w:rsidP="00000000" w:rsidRDefault="00000000" w:rsidRPr="00000000" w14:paraId="00000005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entury Schoolbook" w:cs="Century Schoolbook" w:eastAsia="Century Schoolbook" w:hAnsi="Century Schoolbook"/>
          <w:color w:val="333333"/>
          <w:sz w:val="60"/>
          <w:szCs w:val="60"/>
        </w:rPr>
      </w:pPr>
      <w:r w:rsidDel="00000000" w:rsidR="00000000" w:rsidRPr="00000000">
        <w:rPr>
          <w:rFonts w:ascii="Century Schoolbook" w:cs="Century Schoolbook" w:eastAsia="Century Schoolbook" w:hAnsi="Century Schoolbook"/>
          <w:color w:val="333333"/>
          <w:sz w:val="60"/>
          <w:szCs w:val="60"/>
          <w:rtl w:val="0"/>
        </w:rPr>
        <w:t xml:space="preserve">ЗАКОНОПРОЕКТ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 внесении изменений в Процессуальный кодекс штата San-Andreas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ind w:left="851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SECTION 1. СУТЬ ПРАВКИ.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ind w:firstLine="4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Настоящий законопроект дополняет часть 1 статьи 18 Процессуального кодекса штата San-Andreas пунктом «м», признающим сотрудника отдела IAD LSPD и LSCSD субъектом задержания. Перечень субъектов задержания в остальной части не изменяется.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ind w:firstLine="426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SECTION. 2. ВНЕСЕНИЕ ПРАВКИ В Процессуальный кодекс штата San-Andreas</w:t>
      </w: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0"/>
        <w:gridCol w:w="5940"/>
        <w:tblGridChange w:id="0">
          <w:tblGrid>
            <w:gridCol w:w="594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настоящая редакция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предложенный вариант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Статья 18. Субъекты задержания, ч. 1, п. «м»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В действующей редакции отсутствует.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Статья 18. Субъекты задержания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shd w:fill="d9ead3" w:val="clear"/>
                <w:rtl w:val="0"/>
              </w:rPr>
              <w:t xml:space="preserve">м) Один сотрудник отдела IAD (Internal Affairs Division) соответствующего ведомства (LSPD/LSCSD) -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San-Andreas и внутреннего устава в ходе проведения ими процессуальных действий.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30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tabs>
        <w:tab w:val="left" w:leader="none" w:pos="560"/>
        <w:tab w:val="left" w:leader="none" w:pos="1120"/>
        <w:tab w:val="left" w:leader="none" w:pos="1680"/>
        <w:tab w:val="left" w:leader="none" w:pos="2240"/>
        <w:tab w:val="left" w:leader="none" w:pos="2800"/>
        <w:tab w:val="left" w:leader="none" w:pos="3360"/>
        <w:tab w:val="left" w:leader="none" w:pos="3920"/>
        <w:tab w:val="left" w:leader="none" w:pos="4480"/>
        <w:tab w:val="left" w:leader="none" w:pos="5040"/>
        <w:tab w:val="left" w:leader="none" w:pos="5600"/>
        <w:tab w:val="left" w:leader="none" w:pos="6160"/>
        <w:tab w:val="left" w:leader="none" w:pos="6720"/>
      </w:tabs>
      <w:spacing w:after="120" w:line="240" w:lineRule="auto"/>
      <w:rPr>
        <w:rFonts w:ascii="Book Antiqua" w:cs="Book Antiqua" w:eastAsia="Book Antiqua" w:hAnsi="Book Antiqua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723900</wp:posOffset>
          </wp:positionH>
          <wp:positionV relativeFrom="paragraph">
            <wp:posOffset>13843549</wp:posOffset>
          </wp:positionV>
          <wp:extent cx="2190638" cy="1206181"/>
          <wp:effectExtent b="76673" l="40268" r="40268" t="76673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Fonts w:ascii="Century Schoolbook" w:cs="Century Schoolbook" w:eastAsia="Century Schoolbook" w:hAnsi="Century Schoolbook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rtl w:val="0"/>
      </w:rPr>
      <w:t xml:space="preserve">.</w:t>
      <w:tab/>
      <w:tab/>
      <w:t xml:space="preserve"> </w:t>
      <w:tab/>
      <w:tab/>
      <w:tab/>
      <w:tab/>
      <w:tab/>
      <w:tab/>
      <w:t xml:space="preserve">Attest: Marcus Nomad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