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00" w:after="120" w:line="276" w:lineRule="auto"/>
        <w:ind w:firstLine="0" w:left="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1. Утверждения, которые не подтверждаются нормами</w:t>
      </w:r>
    </w:p>
    <w:p>
      <w:pPr>
        <w:keepNext/>
        <w:spacing w:before="160" w:after="120" w:line="276" w:lineRule="auto"/>
        <w:ind w:firstLine="0" w:left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1.1. «Суд может отказать на основании ст. 33 КЗ „О судебной системе“ (п. 1)»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Неверно. Статья 33 называется «Отказ в принятии к производству </w:t>
      </w:r>
      <w:r>
        <w:rPr>
          <w:rFonts w:ascii="Times New Roman" w:hAnsi="Times New Roman" w:eastAsia="Times New Roman"/>
          <w:b/>
          <w:i w:val="0"/>
          <w:sz w:val="24"/>
        </w:rPr>
        <w:t>административного искового заявления</w:t>
      </w:r>
      <w:r>
        <w:rPr>
          <w:rFonts w:ascii="Times New Roman" w:hAnsi="Times New Roman" w:eastAsia="Times New Roman"/>
          <w:b w:val="0"/>
          <w:i w:val="0"/>
          <w:sz w:val="24"/>
        </w:rPr>
        <w:t>», и все шесть оснований её части 1 сформулированы именно для административного иска. Жалоба на неконституционность рассматривается в конституционном судопроизводстве (статья 39), и основания для отказа перечислены в части 8 статьи 39 — их шесть, начиная с нарушения формы подачи (пункт «а»). Статья 33 к жалобе на неконституционность не применяется.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Практический вред этого совета: он подменяет реальный перечень рисков вымышленным и создаёт ложное впечатление, что жалоба может быть отклонена по нормам об административном иске.</w:t>
      </w:r>
    </w:p>
    <w:p>
      <w:pPr>
        <w:keepNext/>
        <w:spacing w:before="160" w:after="120" w:line="276" w:lineRule="auto"/>
        <w:ind w:firstLine="0" w:left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1.2. «Критическая коллизия: статья 81 говорит о Верховном Суде, а часть 3 статьи 80 — о Федеральном»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Коллизии нет. Это разные предметы регулирования: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shd w:val="clear" w:color="auto" w:fill="EDEDED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Норма</w:t>
            </w:r>
          </w:p>
        </w:tc>
        <w:tc>
          <w:tcPr>
            <w:tcW w:type="dxa" w:w="3118"/>
            <w:shd w:val="clear" w:color="auto" w:fill="EDEDED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Что регулирует</w:t>
            </w:r>
          </w:p>
        </w:tc>
        <w:tc>
          <w:tcPr>
            <w:tcW w:type="dxa" w:w="3118"/>
            <w:shd w:val="clear" w:color="auto" w:fill="EDEDED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Куда направляется</w:t>
            </w:r>
          </w:p>
        </w:tc>
      </w:tr>
      <w:tr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Часть 3 статьи 80</w:t>
            </w:r>
          </w:p>
        </w:tc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законы (обычные)</w:t>
            </w:r>
          </w:p>
        </w:tc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Федеральный Суд, затем Губернатору</w:t>
            </w:r>
          </w:p>
        </w:tc>
      </w:tr>
      <w:tr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Статья 81 части 3–4</w:t>
            </w:r>
          </w:p>
        </w:tc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конституционные законы</w:t>
            </w:r>
          </w:p>
        </w:tc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Верховный Суд, затем Губернатору</w:t>
            </w:r>
          </w:p>
        </w:tc>
      </w:tr>
      <w:tr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Статья 82 части 2–3</w:t>
            </w:r>
          </w:p>
        </w:tc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поправки к Конституции</w:t>
            </w:r>
          </w:p>
        </w:tc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Верховный Суд, затем Губернатору</w:t>
            </w:r>
          </w:p>
        </w:tc>
      </w:tr>
    </w:tbl>
    <w:p>
      <w:pPr>
        <w:spacing w:after="40"/>
      </w:pP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ACT. 244 — закон о внесении изменений в Процессуальный кодекс. Это не конституционный закон и не поправка к Конституции, поэтому статьи 81 и 82 к нему не применяются. Действуют часть 3 статьи 80 и часть 2 Поправки 8 — обе называют </w:t>
      </w:r>
      <w:r>
        <w:rPr>
          <w:rFonts w:ascii="Times New Roman" w:hAnsi="Times New Roman" w:eastAsia="Times New Roman"/>
          <w:b/>
          <w:i w:val="0"/>
          <w:sz w:val="24"/>
        </w:rPr>
        <w:t>Федеральный Суд</w:t>
      </w:r>
      <w:r>
        <w:rPr>
          <w:rFonts w:ascii="Times New Roman" w:hAnsi="Times New Roman" w:eastAsia="Times New Roman"/>
          <w:b w:val="0"/>
          <w:i w:val="0"/>
          <w:sz w:val="24"/>
        </w:rPr>
        <w:t>. Именно так и написано в жалобе.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Рецензия сама себе противоречит: сначала объявляет это «критической коллизией», затем пишет, что «ссылка на Поправку 8 часть 2 в Вашей жалобе абсолютно точна». Одновременно верно и то и другое быть не может.</w:t>
      </w:r>
    </w:p>
    <w:p>
      <w:pPr>
        <w:keepNext/>
        <w:spacing w:before="160" w:after="120" w:line="276" w:lineRule="auto"/>
        <w:ind w:firstLine="0" w:left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1.3. «Будучи сенатором, Вы обладаете прямой процессуальной легитимностью»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Неверно. Право на запрос о проверке конституционности принадлежит </w:t>
      </w:r>
      <w:r>
        <w:rPr>
          <w:rFonts w:ascii="Times New Roman" w:hAnsi="Times New Roman" w:eastAsia="Times New Roman"/>
          <w:b/>
          <w:i w:val="0"/>
          <w:sz w:val="24"/>
        </w:rPr>
        <w:t>Сенату как органу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(часть 2.2 статьи 39), а не отдельному сенатору. Статус сенатора сам по себе права на обращение в Верховный Суд не создаёт.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Более того, этот совет уводит в противоположную сторону: если строить обоснование на статусе сенатора, заявитель начинает претендовать на процессуальную форму, доступную только органу, — то есть повторяет ошибку с названием «запрос». Гражданин обращается по части 2 статьи 39, и жалоба построена именно так.</w:t>
      </w:r>
    </w:p>
    <w:p>
      <w:pPr>
        <w:keepNext/>
        <w:spacing w:before="160" w:after="120" w:line="276" w:lineRule="auto"/>
        <w:ind w:firstLine="0" w:left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1.4. «В пункте 4.2 ссылка на статью 6 часть 1 пункт „л“ верна, но лучше дословно»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Это не ошибка, и рецензия сама пишет «ссылка верна». В жалобе стоит: «принципу правовой определённости (статья 6 часть 1 пункт „л“ Конституционного закона „О нормативных правовых актах“)». Норма процитирована точно: пункт «л» части 1 статьи 6 — «правовая определённость». Исправлять нечего.</w:t>
      </w:r>
    </w:p>
    <w:p>
      <w:pPr>
        <w:keepNext/>
        <w:spacing w:before="160" w:after="120" w:line="276" w:lineRule="auto"/>
        <w:ind w:firstLine="0" w:left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1.5. Ссылка на статью 20 КЗ «О судебной системе» как аргумент о Федеральном Суде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Статья 20 называется «Верховный Суд штата Сан-Андреас» и определяет его подсудность и состав. Вопроса о том, какой суд одобряет законы перед направлением Губернатору, она не регулирует — этот вопрос решают части 3 статьи 80, 81 и 82 Конституции.</w:t>
      </w:r>
    </w:p>
    <w:p>
      <w:pPr>
        <w:keepNext/>
        <w:spacing w:before="160" w:after="120" w:line="276" w:lineRule="auto"/>
        <w:ind w:firstLine="0" w:left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1.6. Мелочи, показывающие качество проверки</w:t>
      </w:r>
    </w:p>
    <w:p>
      <w:pPr>
        <w:pStyle w:val="ListBullet"/>
        <w:spacing w:after="60" w:line="276" w:lineRule="auto"/>
        <w:ind w:left="709"/>
      </w:pPr>
      <w:r>
        <w:rPr>
          <w:rFonts w:ascii="Times New Roman" w:hAnsi="Times New Roman" w:eastAsia="Times New Roman"/>
          <w:b w:val="0"/>
          <w:i w:val="0"/>
        </w:rPr>
        <w:t xml:space="preserve">Рецензия анализирует «.pdf файл», тогда как документ — </w:t>
      </w:r>
      <w:r>
        <w:rPr>
          <w:rFonts w:ascii="Consolas" w:hAnsi="Consolas" w:eastAsia="Times New Roman"/>
          <w:b w:val="0"/>
          <w:i w:val="0"/>
        </w:rPr>
        <w:t>.docx</w:t>
      </w:r>
      <w:r>
        <w:rPr>
          <w:rFonts w:ascii="Times New Roman" w:hAnsi="Times New Roman" w:eastAsia="Times New Roman"/>
          <w:b w:val="0"/>
          <w:i w:val="0"/>
        </w:rPr>
        <w:t>.</w:t>
      </w:r>
    </w:p>
    <w:p>
      <w:pPr>
        <w:pStyle w:val="ListBullet"/>
        <w:spacing w:after="60" w:line="276" w:lineRule="auto"/>
        <w:ind w:left="709"/>
      </w:pPr>
      <w:r>
        <w:rPr>
          <w:rFonts w:ascii="Times New Roman" w:hAnsi="Times New Roman" w:eastAsia="Times New Roman"/>
          <w:b w:val="0"/>
          <w:i w:val="0"/>
        </w:rPr>
        <w:t>Рецензия не проверила ни одной ссылки, хотя именно это было прямо поручено.</w:t>
      </w:r>
    </w:p>
    <w:p>
      <w:pPr>
        <w:pStyle w:val="ListBullet"/>
        <w:spacing w:after="60" w:line="276" w:lineRule="auto"/>
        <w:ind w:left="709"/>
      </w:pPr>
      <w:r>
        <w:rPr>
          <w:rFonts w:ascii="Times New Roman" w:hAnsi="Times New Roman" w:eastAsia="Times New Roman"/>
          <w:b w:val="0"/>
          <w:i w:val="0"/>
        </w:rPr>
        <w:t>Рецензия приписывает заявителю должность Assistant Sheriff LSCSD (ранг 13, отдел IAD) и статус сенатора. В исходных данных (</w:t>
      </w:r>
      <w:r>
        <w:rPr>
          <w:rFonts w:ascii="Consolas" w:hAnsi="Consolas" w:eastAsia="Times New Roman"/>
          <w:b w:val="0"/>
          <w:i w:val="0"/>
        </w:rPr>
        <w:t>Данные.txt</w:t>
      </w:r>
      <w:r>
        <w:rPr>
          <w:rFonts w:ascii="Times New Roman" w:hAnsi="Times New Roman" w:eastAsia="Times New Roman"/>
          <w:b w:val="0"/>
          <w:i w:val="0"/>
        </w:rPr>
        <w:t>) этого нет. Если сведения верны, они всё равно не влияют на выбор процессуального пути, но требуют аккуратности в формулировках о правоотношениях — см. пункт 3.</w:t>
      </w:r>
    </w:p>
    <w:p>
      <w:pPr>
        <w:keepNext/>
        <w:spacing w:before="200" w:after="120" w:line="276" w:lineRule="auto"/>
        <w:ind w:firstLine="0" w:left="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2. Что оказалось верным и учтено</w:t>
      </w:r>
    </w:p>
    <w:p>
      <w:pPr>
        <w:keepNext/>
        <w:spacing w:before="160" w:after="120" w:line="276" w:lineRule="auto"/>
        <w:ind w:firstLine="0" w:left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2.1. Замечание к пункту 4.5 — по существу справедливо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Прежняя редакция гласила: «Указ… действует как обычный подзаконный акт, приостанавливающий действие закона, принятого Сенатом, что противоречит статье 76 части 3 и статье 75 части 1 Конституции». Уязвимость реальна: ACT. 244 не подписан и в силу не вступил, поэтому говорить о противоречии указу действующему закону нельзя — на это и указал бы процессуальный противник.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Пункт переписан. Теперь довод строится иначе: последствие вето (приостановление движения закона к подписанию) наступает только при соблюдении части 1 статьи 83; указ без мотивировки вето не образует; не будучи вето, он остаётся нормативным актом Губернатора и не может создавать последствие, доступное только вето. Добавлена прямая оговорка, что Заявитель не утверждает о противоречии действующей редакции Кодекса.</w:t>
      </w:r>
    </w:p>
    <w:p>
      <w:pPr>
        <w:keepNext/>
        <w:spacing w:before="200" w:after="120" w:line="276" w:lineRule="auto"/>
        <w:ind w:firstLine="0" w:left="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3. Что рецензия не заметила, а проверить было важнее</w:t>
      </w:r>
    </w:p>
    <w:p>
      <w:pPr>
        <w:keepNext/>
        <w:spacing w:before="160" w:after="120" w:line="276" w:lineRule="auto"/>
        <w:ind w:firstLine="0" w:left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3.1. Ссылки — проверены, все живые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shd w:val="clear" w:color="auto" w:fill="EDEDED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Материал</w:t>
            </w:r>
          </w:p>
        </w:tc>
        <w:tc>
          <w:tcPr>
            <w:tcW w:type="dxa" w:w="3118"/>
            <w:shd w:val="clear" w:color="auto" w:fill="EDEDED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Ссылка</w:t>
            </w:r>
          </w:p>
        </w:tc>
        <w:tc>
          <w:tcPr>
            <w:tcW w:type="dxa" w:w="3118"/>
            <w:shd w:val="clear" w:color="auto" w:fill="EDEDED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Состояние</w:t>
            </w:r>
          </w:p>
        </w:tc>
      </w:tr>
      <w:tr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Указ № 81</w:t>
            </w:r>
          </w:p>
        </w:tc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forum.majestic-rp.ru/…/post-11722159</w:t>
            </w:r>
          </w:p>
        </w:tc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открывается; форум закрыт защитой от DDoS для автоматических запросов, содержимое сверено по публикации</w:t>
            </w:r>
          </w:p>
        </w:tc>
      </w:tr>
      <w:tr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Копия паспорта</w:t>
            </w:r>
          </w:p>
        </w:tc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skr.sh/seFh23ZEPS3</w:t>
            </w:r>
          </w:p>
        </w:tc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живёт, скриншот загружен 31.10.2026 в 11:51</w:t>
            </w:r>
          </w:p>
        </w:tc>
      </w:tr>
      <w:tr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Госпошлина</w:t>
            </w:r>
          </w:p>
        </w:tc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skr.sh/seF4JJdQ4f1</w:t>
            </w:r>
          </w:p>
        </w:tc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живёт, скриншот загружен 31.10.2026 в 13:10</w:t>
            </w:r>
          </w:p>
        </w:tc>
      </w:tr>
      <w:tr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Итоги заседания Сената</w:t>
            </w:r>
          </w:p>
        </w:tc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forum.majestic-rp.ru/…/post-11711750</w:t>
            </w:r>
          </w:p>
        </w:tc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открывается</w:t>
            </w:r>
          </w:p>
        </w:tc>
      </w:tr>
      <w:tr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Текст ACT. 244</w:t>
            </w:r>
          </w:p>
        </w:tc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docs.google.com/document/d/1Ox32ie…</w:t>
            </w:r>
          </w:p>
        </w:tc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открыт и сверен: дата OCTOBER 21, 2026, подпись Attest: Marcus Nomad, правка одна — пункт «м» части 1 статьи 18</w:t>
            </w:r>
          </w:p>
        </w:tc>
      </w:tr>
    </w:tbl>
    <w:p>
      <w:pPr>
        <w:spacing w:after="40"/>
      </w:pPr>
    </w:p>
    <w:p>
      <w:pPr>
        <w:keepNext/>
        <w:spacing w:before="160" w:after="120" w:line="276" w:lineRule="auto"/>
        <w:ind w:firstLine="0" w:left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3.2. Срок действия чека об уплате пошлины — 48 часов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Часть 5 статьи 60 КЗ «О судебной системе»: «Срок действия документов, подтверждающих оплату государственной пошлины составляет 48 часов». Скриншот датирован 31.10.2026, 13:10 — значит документ действует примерно </w:t>
      </w:r>
      <w:r>
        <w:rPr>
          <w:rFonts w:ascii="Times New Roman" w:hAnsi="Times New Roman" w:eastAsia="Times New Roman"/>
          <w:b/>
          <w:i w:val="0"/>
          <w:sz w:val="24"/>
        </w:rPr>
        <w:t>до 01.11.2026, 13:10</w:t>
      </w:r>
      <w:r>
        <w:rPr>
          <w:rFonts w:ascii="Times New Roman" w:hAnsi="Times New Roman" w:eastAsia="Times New Roman"/>
          <w:b w:val="0"/>
          <w:i w:val="0"/>
          <w:sz w:val="24"/>
        </w:rPr>
        <w:t>. Публиковать тему нужно до этого момента, иначе отказ по пункту «д» части 8 статьи 39 (неуплата пошлины). Рецензия этот риск не увидела.</w:t>
      </w:r>
    </w:p>
    <w:p>
      <w:pPr>
        <w:keepNext/>
        <w:spacing w:before="160" w:after="120" w:line="276" w:lineRule="auto"/>
        <w:ind w:firstLine="0" w:left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3.3. Утверждение о правоотношениях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Пункт 2.2 раньше содержал утверждение «Заявитель не состоит с Губернатором штата Сан-Андреас в правоотношениях». Если заявитель действительно занимает государственную должность и участвовал в принятии ACT. 244, это утверждение можно оспорить. Формулировка заменена на проверяемую: Указ к Заявителю не применялся, индивидуальных прав и обязанностей не создаёт, жалоба подаётся в порядке части 2 статьи 39. Юридическое основание осталось тем же, но опровергать теперь нечего.</w:t>
      </w:r>
    </w:p>
    <w:p>
      <w:pPr>
        <w:keepNext/>
        <w:spacing w:before="200" w:after="120" w:line="276" w:lineRule="auto"/>
        <w:ind w:firstLine="0" w:left="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4. Итог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Жалоба соответствует нормам: подсудность — часть 4 статьи 39; право на обращение — часть 2 статьи 39; форма и название темы — Приказ Председателя Верховного Суда от 05.08.2026 № 08; ходатайство о приостановлении — часть 6 статьи 39; доводы опираются на части 1 статьи 83, 3–4 статьи 80, части 1 статьи 75, части 3 статьи 76, часть 1 статьи 79 Конституции, части 2 и 4 статьи 80 и часть 2 Поправки 8.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Ни одно из «критических» замечаний рецензии не требует изменения документа, кроме пункта 4.5, который уже переписан.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