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235–249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технического исправления в Трудовой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соответствует ACT. 242 и устраняет нарушение нумерации глав Трудового кодекса штата San-Andreas. Глава, регулирующая трудовой договор, обозначена как «Глава III», тогда как глава об основных правах и обязанностях сторон трудовых отношений уже имеет номер III; в результате главы о рабочем времени, оплате труда и дисциплине труда следуют со сдвигом. Законопроект присваивает главе о трудовом договоре номер IV и последовательно перенумеровывает последующие главы в V, VI и VII. Ссылок на номера этих глав в иных актах законодательства штата не имеется; содержание норм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Трудовой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Кодекса о трудовом договоре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III.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Трудовой договор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Кодекса о трудовом договоре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IV.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Трудовой договор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Кодекса о рабочем времени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IV.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Общие положения рабочего времени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Кодекса о рабочем времени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V.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Общие положения рабочего времени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Кодекса об оплате труда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V.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Оплата труда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Кодекса об оплате труда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VI.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Оплата труда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Кодекса о дисциплине труда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VI.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Дисциплина труда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Кодекса о дисциплине труда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VII.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Дисциплина труда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