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235–249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технического исправления в Трудовой кодекс штата San-Andreas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Настоящий законопроект соответствует ACT. 242 и устраняет нарушение нумерации глав Трудового кодекса штата San-Andreas. Глава, регулирующая трудовой договор, обозначена как «Глава III», тогда как глава об основных правах и обязанностях сторон трудовых отношений уже имеет номер III; в результате главы о рабочем времени, оплате труда и дисциплине труда следуют со сдвигом. Законопроект присваивает главе о трудовом договоре номер IV и последовательно перенумеровывает последующие главы в V, VI и VII. Ссылок на номера этих глав в иных актах законодательства штата не имеется; содержание норм не изменяется.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Трудовой кодекс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Оглавление Кодекса, глава о трудовом договоре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III.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Трудовой договор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Оглавление Кодекса, глава о трудовом договоре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IV.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Трудовой договор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Оглавление Кодекса, глава о рабочем времени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IV.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Общие положения рабочего времени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Оглавление Кодекса, глава о рабочем времени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V.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Общие положения рабочего времени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Оглавление Кодекса, глава об оплате труда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V.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Оплата труда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Оглавление Кодекса, глава об оплате труда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VI.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Оплата труда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Оглавление Кодекса, глава о дисциплине труда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VI.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Дисциплина труда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Оглавление Кодекса, глава о дисциплине труда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Глава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VII.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Дисциплина труда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