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235–249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технического исправления в Закон «Об адвокатской деятельности и адвокатуре в штате San-Andreas»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соответствует ACT. 248 и исправляет написание в пояснении 2 к статье 8 Закона «Об адвокатской деятельности и адвокатуре в штате San-Andreas», где срок заключения письменного договора определён формулировкой «в течении 6 часов». Существительное «течение» в значении времени пишется с окончанием «-е»; написание «в течении» относится к предложному падежу существительного «течение» (о течении реки). Срок и порядок заключения договора не изменяются.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«Об адвокатской деятельности и адвокатуре в штате San-Andreas»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8. Клиент, пояснение 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Пояснение 2: Договор заключенный в устной форме дает адвокату право на участие в процессуальных действиях, в которых фигурирует его доверитель/подзащитный. После заключения договора в устной форме,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течении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6 часов договор нужно заключить в письменной форме для дальнейшего оказания юридической помощи.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8. Клиент, пояснение 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Пояснение 2: Договор заключенный в устной форме дает адвокату право на участие в процессуальных действиях, в которых фигурирует его доверитель/подзащитный. После заключения договора в устной форме,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течение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6 часов договор нужно заключить в письменной форме для дальнейшего оказания юридической помощи.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