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120" w:line="276" w:lineRule="auto"/>
        <w:ind w:firstLine="0" w:left="0"/>
        <w:jc w:val="left"/>
      </w:pPr>
      <w:r>
        <w:rPr>
          <w:rFonts w:ascii="Times New Roman" w:hAnsi="Times New Roman" w:eastAsia="Times New Roman"/>
          <w:b/>
          <w:i w:val="0"/>
          <w:sz w:val="26"/>
        </w:rPr>
        <w:t>1. Ответ на вопрос: да, можно напрямую</w:t>
      </w:r>
    </w:p>
    <w:p>
      <w:pPr>
        <w:keepNext w:val="0"/>
        <w:spacing w:before="0" w:after="120" w:line="276" w:lineRule="auto"/>
        <w:ind w:firstLine="709" w:left="0"/>
        <w:jc w:val="both"/>
      </w:pPr>
      <w:r>
        <w:rPr>
          <w:rFonts w:ascii="Times New Roman" w:hAnsi="Times New Roman" w:eastAsia="Times New Roman"/>
          <w:b w:val="0"/>
          <w:i w:val="0"/>
          <w:sz w:val="24"/>
        </w:rPr>
        <w:t>Обращаться в Верховный Суд можно без прокуратуры, без Сената и без предварительного обращения в другой суд. Основание — часть 2 статьи 39 Конституционного закона «О судебной системе штата Сан-Андреас»: «допускаются отдельные жалобы на неконституционность нормативных правовых актов в отсутствие правоотношений».</w:t>
      </w:r>
    </w:p>
    <w:p>
      <w:pPr>
        <w:keepNext w:val="0"/>
        <w:spacing w:before="0" w:after="120" w:line="276" w:lineRule="auto"/>
        <w:ind w:firstLine="709" w:left="0"/>
        <w:jc w:val="both"/>
      </w:pPr>
      <w:r>
        <w:rPr>
          <w:rFonts w:ascii="Times New Roman" w:hAnsi="Times New Roman" w:eastAsia="Times New Roman"/>
          <w:b w:val="0"/>
          <w:i w:val="0"/>
          <w:sz w:val="24"/>
        </w:rPr>
        <w:t>Это означает три вещи:</w:t>
      </w:r>
    </w:p>
    <w:p>
      <w:pPr>
        <w:pStyle w:val="ListBullet"/>
        <w:spacing w:after="60" w:line="276" w:lineRule="auto"/>
        <w:ind w:left="709"/>
      </w:pPr>
      <w:r>
        <w:rPr>
          <w:rFonts w:ascii="Times New Roman" w:hAnsi="Times New Roman" w:eastAsia="Times New Roman"/>
          <w:b w:val="0"/>
          <w:i w:val="0"/>
        </w:rPr>
        <w:t>не нужно доказывать, что указ нарушил именно ваши права;</w:t>
      </w:r>
    </w:p>
    <w:p>
      <w:pPr>
        <w:pStyle w:val="ListBullet"/>
        <w:spacing w:after="60" w:line="276" w:lineRule="auto"/>
        <w:ind w:left="709"/>
      </w:pPr>
      <w:r>
        <w:rPr>
          <w:rFonts w:ascii="Times New Roman" w:hAnsi="Times New Roman" w:eastAsia="Times New Roman"/>
          <w:b w:val="0"/>
          <w:i w:val="0"/>
        </w:rPr>
        <w:t>не нужно ждать, пока указ будет применён к вам в конкретном деле;</w:t>
      </w:r>
    </w:p>
    <w:p>
      <w:pPr>
        <w:pStyle w:val="ListBullet"/>
        <w:spacing w:after="60" w:line="276" w:lineRule="auto"/>
        <w:ind w:left="709"/>
      </w:pPr>
      <w:r>
        <w:rPr>
          <w:rFonts w:ascii="Times New Roman" w:hAnsi="Times New Roman" w:eastAsia="Times New Roman"/>
          <w:b w:val="0"/>
          <w:i w:val="0"/>
        </w:rPr>
        <w:t>не нужен представитель и не нужна доверенность.</w:t>
      </w:r>
    </w:p>
    <w:p>
      <w:pPr>
        <w:keepNext w:val="0"/>
        <w:spacing w:before="0" w:after="120" w:line="276" w:lineRule="auto"/>
        <w:ind w:firstLine="709" w:left="0"/>
        <w:jc w:val="both"/>
      </w:pPr>
      <w:r>
        <w:rPr>
          <w:rFonts w:ascii="Times New Roman" w:hAnsi="Times New Roman" w:eastAsia="Times New Roman"/>
          <w:b w:val="0"/>
          <w:i w:val="0"/>
          <w:sz w:val="24"/>
        </w:rPr>
        <w:t>Ограничение одно: целью такого обращения может быть только проверка акта на соответствие Конституции (либо обнаружение коллизий). Поэтому в жалобе не ставится вопрос о принятии закона, о его подписании или о работе Сената — только об указе.</w:t>
      </w:r>
    </w:p>
    <w:p>
      <w:pPr>
        <w:keepNext/>
        <w:spacing w:before="200" w:after="120" w:line="276" w:lineRule="auto"/>
        <w:ind w:firstLine="0" w:left="0"/>
        <w:jc w:val="left"/>
      </w:pPr>
      <w:r>
        <w:rPr>
          <w:rFonts w:ascii="Times New Roman" w:hAnsi="Times New Roman" w:eastAsia="Times New Roman"/>
          <w:b/>
          <w:i w:val="0"/>
          <w:sz w:val="26"/>
        </w:rPr>
        <w:t>2. Что убрано из прошлого комплекта и почему</w:t>
      </w:r>
    </w:p>
    <w:p>
      <w:pPr>
        <w:keepNext w:val="0"/>
        <w:spacing w:before="0" w:after="120" w:line="276" w:lineRule="auto"/>
        <w:ind w:firstLine="709" w:left="0"/>
        <w:jc w:val="both"/>
      </w:pPr>
      <w:r>
        <w:rPr>
          <w:rFonts w:ascii="Times New Roman" w:hAnsi="Times New Roman" w:eastAsia="Times New Roman"/>
          <w:b/>
          <w:i w:val="0"/>
          <w:sz w:val="24"/>
        </w:rPr>
        <w:t>Убран довод о пропуске двухдневного срока вето.</w:t>
      </w:r>
      <w:r>
        <w:rPr>
          <w:rFonts w:ascii="Times New Roman" w:hAnsi="Times New Roman" w:eastAsia="Times New Roman"/>
          <w:b w:val="0"/>
          <w:i w:val="0"/>
          <w:sz w:val="24"/>
        </w:rPr>
        <w:t xml:space="preserve"> По вашим данным Сенат голосовал 28.10.2026 в 21:25, итоги опубликованы 29.10.2026 в 02:24, указ издан 30.10.2026 в 23:42. Два дня с момента поступления закона Губернатору при таком раскладе не истекли — вето по срокам своевременно. Довод был бы опровергнут первой же ссылкой на дату.</w:t>
      </w:r>
    </w:p>
    <w:p>
      <w:pPr>
        <w:keepNext w:val="0"/>
        <w:spacing w:before="0" w:after="120" w:line="276" w:lineRule="auto"/>
        <w:ind w:firstLine="709" w:left="0"/>
        <w:jc w:val="both"/>
      </w:pPr>
      <w:r>
        <w:rPr>
          <w:rFonts w:ascii="Times New Roman" w:hAnsi="Times New Roman" w:eastAsia="Times New Roman"/>
          <w:b/>
          <w:i w:val="0"/>
          <w:sz w:val="24"/>
        </w:rPr>
        <w:t>Убран довод о ссылке на часть 4 статьи 80.</w:t>
      </w:r>
      <w:r>
        <w:rPr>
          <w:rFonts w:ascii="Times New Roman" w:hAnsi="Times New Roman" w:eastAsia="Times New Roman"/>
          <w:b w:val="0"/>
          <w:i w:val="0"/>
          <w:sz w:val="24"/>
        </w:rPr>
        <w:t xml:space="preserve"> В действующей редакции Конституции часть 4 статьи 80 — это и есть норма о вето. Ссылка на неё не является дефектом.</w:t>
      </w:r>
    </w:p>
    <w:p>
      <w:pPr>
        <w:keepNext w:val="0"/>
        <w:spacing w:before="0" w:after="120" w:line="276" w:lineRule="auto"/>
        <w:ind w:firstLine="709" w:left="0"/>
        <w:jc w:val="both"/>
      </w:pPr>
      <w:r>
        <w:rPr>
          <w:rFonts w:ascii="Times New Roman" w:hAnsi="Times New Roman" w:eastAsia="Times New Roman"/>
          <w:b/>
          <w:i w:val="0"/>
          <w:sz w:val="24"/>
        </w:rPr>
        <w:t>Убраны обращения в Офис Генерального прокурора, заявление о толковании и административный иск.</w:t>
      </w:r>
      <w:r>
        <w:rPr>
          <w:rFonts w:ascii="Times New Roman" w:hAnsi="Times New Roman" w:eastAsia="Times New Roman"/>
          <w:b w:val="0"/>
          <w:i w:val="0"/>
          <w:sz w:val="24"/>
        </w:rPr>
        <w:t xml:space="preserve"> Ни одно из них не даёт того, что даёт эта жалоба, а административный иск вдобавок ограничен 48 часами и требованием нарушенного права. Осталось одно действие вместо четырёх.</w:t>
      </w:r>
    </w:p>
    <w:p>
      <w:pPr>
        <w:keepNext/>
        <w:spacing w:before="200" w:after="120" w:line="276" w:lineRule="auto"/>
        <w:ind w:firstLine="0" w:left="0"/>
        <w:jc w:val="left"/>
      </w:pPr>
      <w:r>
        <w:rPr>
          <w:rFonts w:ascii="Times New Roman" w:hAnsi="Times New Roman" w:eastAsia="Times New Roman"/>
          <w:b/>
          <w:i w:val="0"/>
          <w:sz w:val="26"/>
        </w:rPr>
        <w:t>3. Порядок действий</w:t>
      </w:r>
    </w:p>
    <w:p>
      <w:pPr>
        <w:keepNext w:val="0"/>
        <w:spacing w:before="0" w:after="120" w:line="276" w:lineRule="auto"/>
        <w:ind w:firstLine="709" w:left="0"/>
        <w:jc w:val="both"/>
      </w:pPr>
      <w:r>
        <w:rPr>
          <w:rFonts w:ascii="Times New Roman" w:hAnsi="Times New Roman" w:eastAsia="Times New Roman"/>
          <w:b/>
          <w:i w:val="0"/>
          <w:sz w:val="24"/>
        </w:rPr>
        <w:t>Шаг 1. Оплатить пошлину и получить подтверждение.</w:t>
      </w:r>
      <w:r>
        <w:rPr>
          <w:rFonts w:ascii="Times New Roman" w:hAnsi="Times New Roman" w:eastAsia="Times New Roman"/>
          <w:b w:val="0"/>
          <w:i w:val="0"/>
          <w:sz w:val="24"/>
        </w:rPr>
        <w:t xml:space="preserve"> Размер устанавливает Председатель Верховного Суда (часть 8 статьи 60 Конституционного закона «О судебной системе»), общий предел — 100 000 $. Документ об оплате действует 48 часов (часть 5 статьи 60), поэтому платить нужно непосредственно перед подачей, а не заранее. Ссылку на чек вставьте в пункт 3 раздела «МАТЕРИАЛЫ».</w:t>
      </w:r>
    </w:p>
    <w:p>
      <w:pPr>
        <w:keepNext w:val="0"/>
        <w:spacing w:before="0" w:after="120" w:line="276" w:lineRule="auto"/>
        <w:ind w:firstLine="709" w:left="0"/>
        <w:jc w:val="both"/>
      </w:pPr>
      <w:r>
        <w:rPr>
          <w:rFonts w:ascii="Times New Roman" w:hAnsi="Times New Roman" w:eastAsia="Times New Roman"/>
          <w:b/>
          <w:i w:val="0"/>
          <w:sz w:val="24"/>
        </w:rPr>
        <w:t>Шаг 2. Создать тему в разделе Верховного Суда.</w:t>
      </w:r>
      <w:r>
        <w:rPr>
          <w:rFonts w:ascii="Times New Roman" w:hAnsi="Times New Roman" w:eastAsia="Times New Roman"/>
          <w:b w:val="0"/>
          <w:i w:val="0"/>
          <w:sz w:val="24"/>
        </w:rPr>
        <w:t xml:space="preserve"> Название: «Жалоба на несоответствие Указа Губернатора штата Сан-Андреас № 81 от 30.10.2026 Конституции штата Сан-Андреас № ___». Номер — следующий за последним в разделе.</w:t>
      </w:r>
    </w:p>
    <w:p>
      <w:pPr>
        <w:keepNext w:val="0"/>
        <w:spacing w:before="0" w:after="120" w:line="276" w:lineRule="auto"/>
        <w:ind w:firstLine="709" w:left="0"/>
        <w:jc w:val="both"/>
      </w:pPr>
      <w:r>
        <w:rPr>
          <w:rFonts w:ascii="Times New Roman" w:hAnsi="Times New Roman" w:eastAsia="Times New Roman"/>
          <w:b/>
          <w:i w:val="0"/>
          <w:sz w:val="24"/>
        </w:rPr>
        <w:t>Шаг 3. Вставить текст из файла 01</w:t>
      </w:r>
      <w:r>
        <w:rPr>
          <w:rFonts w:ascii="Times New Roman" w:hAnsi="Times New Roman" w:eastAsia="Times New Roman"/>
          <w:b w:val="0"/>
          <w:i w:val="0"/>
          <w:sz w:val="24"/>
        </w:rPr>
        <w:t xml:space="preserve"> (DOCX или markdown — как удобнее порталу) и подставить номер в заголовок «Жалоба на неконституционность № ___».</w:t>
      </w:r>
    </w:p>
    <w:p>
      <w:pPr>
        <w:keepNext w:val="0"/>
        <w:spacing w:before="0" w:after="120" w:line="276" w:lineRule="auto"/>
        <w:ind w:firstLine="709" w:left="0"/>
        <w:jc w:val="both"/>
      </w:pPr>
      <w:r>
        <w:rPr>
          <w:rFonts w:ascii="Times New Roman" w:hAnsi="Times New Roman" w:eastAsia="Times New Roman"/>
          <w:b/>
          <w:i w:val="0"/>
          <w:sz w:val="24"/>
        </w:rPr>
        <w:t>Шаг 4. Проверить вложения.</w:t>
      </w:r>
      <w:r>
        <w:rPr>
          <w:rFonts w:ascii="Times New Roman" w:hAnsi="Times New Roman" w:eastAsia="Times New Roman"/>
          <w:b w:val="0"/>
          <w:i w:val="0"/>
          <w:sz w:val="24"/>
        </w:rPr>
        <w:t xml:space="preserve"> Пункты 1, 2, 4, 5 уже заполнены ссылками. Незаполненным остаётся только пункт 3 — госпошлина.</w:t>
      </w:r>
    </w:p>
    <w:p>
      <w:pPr>
        <w:keepNext w:val="0"/>
        <w:spacing w:before="0" w:after="120" w:line="276" w:lineRule="auto"/>
        <w:ind w:firstLine="709" w:left="0"/>
        <w:jc w:val="both"/>
      </w:pPr>
      <w:r>
        <w:rPr>
          <w:rFonts w:ascii="Times New Roman" w:hAnsi="Times New Roman" w:eastAsia="Times New Roman"/>
          <w:b/>
          <w:i w:val="0"/>
          <w:sz w:val="24"/>
        </w:rPr>
        <w:t>Шаг 5. Опубликовать и сохранить ссылку на тему</w:t>
      </w:r>
      <w:r>
        <w:rPr>
          <w:rFonts w:ascii="Times New Roman" w:hAnsi="Times New Roman" w:eastAsia="Times New Roman"/>
          <w:b w:val="0"/>
          <w:i w:val="0"/>
          <w:sz w:val="24"/>
        </w:rPr>
        <w:t xml:space="preserve"> — она понадобится, если дело дойдёт до обжалования.</w:t>
      </w:r>
    </w:p>
    <w:p>
      <w:pPr>
        <w:keepNext/>
        <w:spacing w:before="200" w:after="120" w:line="276" w:lineRule="auto"/>
        <w:ind w:firstLine="0" w:left="0"/>
        <w:jc w:val="left"/>
      </w:pPr>
      <w:r>
        <w:rPr>
          <w:rFonts w:ascii="Times New Roman" w:hAnsi="Times New Roman" w:eastAsia="Times New Roman"/>
          <w:b/>
          <w:i w:val="0"/>
          <w:sz w:val="26"/>
        </w:rPr>
        <w:t>4. Что сверить перед публикацией</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color="auto" w:fill="EDEDED"/>
            <w:tcBorders>
              <w:top w:val="single" w:sz="4" w:space="0" w:color="808080"/>
              <w:left w:val="single" w:sz="4" w:space="0" w:color="808080"/>
              <w:bottom w:val="single" w:sz="4" w:space="0" w:color="808080"/>
              <w:right w:val="single" w:sz="4" w:space="0" w:color="808080"/>
            </w:tcBorders>
          </w:tcPr>
          <w:p>
            <w:pPr>
              <w:spacing w:after="40"/>
              <w:jc w:val="center"/>
            </w:pPr>
            <w:r/>
            <w:r>
              <w:rPr>
                <w:rFonts w:ascii="Times New Roman" w:hAnsi="Times New Roman" w:eastAsia="Times New Roman"/>
                <w:b/>
                <w:i w:val="0"/>
                <w:sz w:val="21"/>
              </w:rPr>
              <w:t>Что</w:t>
            </w:r>
          </w:p>
        </w:tc>
        <w:tc>
          <w:tcPr>
            <w:tcW w:type="dxa" w:w="3118"/>
            <w:shd w:val="clear" w:color="auto" w:fill="EDEDED"/>
            <w:tcBorders>
              <w:top w:val="single" w:sz="4" w:space="0" w:color="808080"/>
              <w:left w:val="single" w:sz="4" w:space="0" w:color="808080"/>
              <w:bottom w:val="single" w:sz="4" w:space="0" w:color="808080"/>
              <w:right w:val="single" w:sz="4" w:space="0" w:color="808080"/>
            </w:tcBorders>
          </w:tcPr>
          <w:p>
            <w:pPr>
              <w:spacing w:after="40"/>
              <w:jc w:val="center"/>
            </w:pPr>
            <w:r/>
            <w:r>
              <w:rPr>
                <w:rFonts w:ascii="Times New Roman" w:hAnsi="Times New Roman" w:eastAsia="Times New Roman"/>
                <w:b/>
                <w:i w:val="0"/>
                <w:sz w:val="21"/>
              </w:rPr>
              <w:t>Где</w:t>
            </w:r>
          </w:p>
        </w:tc>
        <w:tc>
          <w:tcPr>
            <w:tcW w:type="dxa" w:w="3118"/>
            <w:shd w:val="clear" w:color="auto" w:fill="EDEDED"/>
            <w:tcBorders>
              <w:top w:val="single" w:sz="4" w:space="0" w:color="808080"/>
              <w:left w:val="single" w:sz="4" w:space="0" w:color="808080"/>
              <w:bottom w:val="single" w:sz="4" w:space="0" w:color="808080"/>
              <w:right w:val="single" w:sz="4" w:space="0" w:color="808080"/>
            </w:tcBorders>
          </w:tcPr>
          <w:p>
            <w:pPr>
              <w:spacing w:after="40"/>
              <w:jc w:val="center"/>
            </w:pPr>
            <w:r/>
            <w:r>
              <w:rPr>
                <w:rFonts w:ascii="Times New Roman" w:hAnsi="Times New Roman" w:eastAsia="Times New Roman"/>
                <w:b/>
                <w:i w:val="0"/>
                <w:sz w:val="21"/>
              </w:rPr>
              <w:t>Действие</w:t>
            </w:r>
          </w:p>
        </w:tc>
      </w:tr>
      <w:tr>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Номер указа (№ 81)</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заголовок, п. 1.3, разделы «Материалы» и «Просьба»</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если в публикации номер иной — заменить по всему тексту</w:t>
            </w:r>
          </w:p>
        </w:tc>
      </w:tr>
      <w:tr>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Реквизит даты в тексте указа</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п. 4.2</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если дата в указе всё-таки проставлена — удалить первый абзац п. 4.2 и оставить только часть о «законе» и «поправке»</w:t>
            </w:r>
          </w:p>
        </w:tc>
      </w:tr>
      <w:tr>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Размер пошлины</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п. 3 «Материалов»</w:t>
            </w:r>
          </w:p>
        </w:tc>
        <w:tc>
          <w:tcPr>
            <w:tcW w:type="dxa" w:w="3118"/>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уточнить у суда или в разделе пошлин, затем вставить ссылку</w:t>
            </w:r>
          </w:p>
        </w:tc>
      </w:tr>
    </w:tbl>
    <w:p>
      <w:pPr>
        <w:spacing w:after="40"/>
      </w:pPr>
    </w:p>
    <w:p>
      <w:pPr>
        <w:keepNext/>
        <w:spacing w:before="200" w:after="120" w:line="276" w:lineRule="auto"/>
        <w:ind w:firstLine="0" w:left="0"/>
        <w:jc w:val="left"/>
      </w:pPr>
      <w:r>
        <w:rPr>
          <w:rFonts w:ascii="Times New Roman" w:hAnsi="Times New Roman" w:eastAsia="Times New Roman"/>
          <w:b/>
          <w:i w:val="0"/>
          <w:sz w:val="26"/>
        </w:rPr>
        <w:t>5. Что будет дальше</w:t>
      </w:r>
    </w:p>
    <w:tbl>
      <w:tblPr>
        <w:tblStyle w:val="TableGrid"/>
        <w:tblW w:type="auto" w:w="0"/>
        <w:jc w:val="center"/>
        <w:tblLook w:firstColumn="1" w:firstRow="1" w:lastColumn="0" w:lastRow="0" w:noHBand="0" w:noVBand="1" w:val="04A0"/>
      </w:tblPr>
      <w:tblGrid>
        <w:gridCol w:w="4677"/>
        <w:gridCol w:w="4677"/>
      </w:tblGrid>
      <w:tr>
        <w:tc>
          <w:tcPr>
            <w:tcW w:type="dxa" w:w="4677"/>
            <w:shd w:val="clear" w:color="auto" w:fill="EDEDED"/>
            <w:tcBorders>
              <w:top w:val="single" w:sz="4" w:space="0" w:color="808080"/>
              <w:left w:val="single" w:sz="4" w:space="0" w:color="808080"/>
              <w:bottom w:val="single" w:sz="4" w:space="0" w:color="808080"/>
              <w:right w:val="single" w:sz="4" w:space="0" w:color="808080"/>
            </w:tcBorders>
          </w:tcPr>
          <w:p>
            <w:pPr>
              <w:spacing w:after="40"/>
              <w:jc w:val="center"/>
            </w:pPr>
            <w:r/>
            <w:r>
              <w:rPr>
                <w:rFonts w:ascii="Times New Roman" w:hAnsi="Times New Roman" w:eastAsia="Times New Roman"/>
                <w:b/>
                <w:i w:val="0"/>
                <w:sz w:val="21"/>
              </w:rPr>
              <w:t>Срок</w:t>
            </w:r>
          </w:p>
        </w:tc>
        <w:tc>
          <w:tcPr>
            <w:tcW w:type="dxa" w:w="4677"/>
            <w:shd w:val="clear" w:color="auto" w:fill="EDEDED"/>
            <w:tcBorders>
              <w:top w:val="single" w:sz="4" w:space="0" w:color="808080"/>
              <w:left w:val="single" w:sz="4" w:space="0" w:color="808080"/>
              <w:bottom w:val="single" w:sz="4" w:space="0" w:color="808080"/>
              <w:right w:val="single" w:sz="4" w:space="0" w:color="808080"/>
            </w:tcBorders>
          </w:tcPr>
          <w:p>
            <w:pPr>
              <w:spacing w:after="40"/>
              <w:jc w:val="center"/>
            </w:pPr>
            <w:r/>
            <w:r>
              <w:rPr>
                <w:rFonts w:ascii="Times New Roman" w:hAnsi="Times New Roman" w:eastAsia="Times New Roman"/>
                <w:b/>
                <w:i w:val="0"/>
                <w:sz w:val="21"/>
              </w:rPr>
              <w:t>Что происходит</w:t>
            </w:r>
          </w:p>
        </w:tc>
      </w:tr>
      <w:tr>
        <w:tc>
          <w:tcPr>
            <w:tcW w:type="dxa" w:w="4677"/>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до принятия</w:t>
            </w:r>
          </w:p>
        </w:tc>
        <w:tc>
          <w:tcPr>
            <w:tcW w:type="dxa" w:w="4677"/>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судья проводит предварительное изучение обращения (часть 7.1 статьи 39)</w:t>
            </w:r>
          </w:p>
        </w:tc>
      </w:tr>
      <w:tr>
        <w:tc>
          <w:tcPr>
            <w:tcW w:type="dxa" w:w="4677"/>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по итогам изучения</w:t>
            </w:r>
          </w:p>
        </w:tc>
        <w:tc>
          <w:tcPr>
            <w:tcW w:type="dxa" w:w="4677"/>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определение о принятии к производству либо об отказе (часть 7 статьи 39)</w:t>
            </w:r>
          </w:p>
        </w:tc>
      </w:tr>
      <w:tr>
        <w:tc>
          <w:tcPr>
            <w:tcW w:type="dxa" w:w="4677"/>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96 часов со дня постановления</w:t>
            </w:r>
          </w:p>
        </w:tc>
        <w:tc>
          <w:tcPr>
            <w:tcW w:type="dxa" w:w="4677"/>
            <w:tcBorders>
              <w:top w:val="single" w:sz="4" w:space="0" w:color="808080"/>
              <w:left w:val="single" w:sz="4" w:space="0" w:color="808080"/>
              <w:bottom w:val="single" w:sz="4" w:space="0" w:color="808080"/>
              <w:right w:val="single" w:sz="4" w:space="0" w:color="808080"/>
            </w:tcBorders>
          </w:tcPr>
          <w:p>
            <w:pPr>
              <w:spacing w:after="40"/>
              <w:jc w:val="left"/>
            </w:pPr>
            <w:r/>
            <w:r>
              <w:rPr>
                <w:rFonts w:ascii="Times New Roman" w:hAnsi="Times New Roman" w:eastAsia="Times New Roman"/>
                <w:b w:val="0"/>
                <w:i w:val="0"/>
                <w:sz w:val="21"/>
              </w:rPr>
              <w:t>срок на обжалование в Президиум Верховного Суда (часть 2 статьи 20)</w:t>
            </w:r>
          </w:p>
        </w:tc>
      </w:tr>
    </w:tbl>
    <w:p>
      <w:pPr>
        <w:spacing w:after="40"/>
      </w:pPr>
    </w:p>
    <w:p>
      <w:pPr>
        <w:keepNext w:val="0"/>
        <w:spacing w:before="0" w:after="120" w:line="276" w:lineRule="auto"/>
        <w:ind w:firstLine="709" w:left="0"/>
        <w:jc w:val="both"/>
      </w:pPr>
      <w:r>
        <w:rPr>
          <w:rFonts w:ascii="Times New Roman" w:hAnsi="Times New Roman" w:eastAsia="Times New Roman"/>
          <w:b w:val="0"/>
          <w:i w:val="0"/>
          <w:sz w:val="24"/>
        </w:rPr>
        <w:t>Основания для отказа перечислены в части 8 статьи 39 — их шесть: нарушение формы, неподведомственность, отмена оспариваемого акта, наличие ранее вынесенного постановления по тому же предмету, неуплата пошлины, отсутствие неконституционности при предварительной проверке. Жалоба составлена так, чтобы не попасть ни под одно из первых пяти.</w:t>
      </w:r>
    </w:p>
    <w:p>
      <w:pPr>
        <w:keepNext/>
        <w:spacing w:before="200" w:after="120" w:line="276" w:lineRule="auto"/>
        <w:ind w:firstLine="0" w:left="0"/>
        <w:jc w:val="left"/>
      </w:pPr>
      <w:r>
        <w:rPr>
          <w:rFonts w:ascii="Times New Roman" w:hAnsi="Times New Roman" w:eastAsia="Times New Roman"/>
          <w:b/>
          <w:i w:val="0"/>
          <w:sz w:val="26"/>
        </w:rPr>
        <w:t>6. Чего в жалобе намеренно нет</w:t>
      </w:r>
    </w:p>
    <w:p>
      <w:pPr>
        <w:keepNext w:val="0"/>
        <w:spacing w:before="0" w:after="120" w:line="276" w:lineRule="auto"/>
        <w:ind w:firstLine="709" w:left="0"/>
        <w:jc w:val="both"/>
      </w:pPr>
      <w:r>
        <w:rPr>
          <w:rFonts w:ascii="Times New Roman" w:hAnsi="Times New Roman" w:eastAsia="Times New Roman"/>
          <w:b w:val="0"/>
          <w:i w:val="0"/>
          <w:sz w:val="24"/>
        </w:rPr>
        <w:t>Жалоба опирается исключительно на законодательство штата — кодексы, конституционные законы и Конституцию. Нет требований политического характера: суд не вводит законы в силу, и просить об этом бессмысленно. Нет оценок личности Губернатора — только текст акта и нормы Конституции.</w:t>
      </w:r>
    </w:p>
    <w:p>
      <w:pPr>
        <w:keepNext/>
        <w:spacing w:before="200" w:after="120" w:line="276" w:lineRule="auto"/>
        <w:ind w:firstLine="0" w:left="0"/>
        <w:jc w:val="left"/>
      </w:pPr>
      <w:r>
        <w:rPr>
          <w:rFonts w:ascii="Times New Roman" w:hAnsi="Times New Roman" w:eastAsia="Times New Roman"/>
          <w:b/>
          <w:i w:val="0"/>
          <w:sz w:val="26"/>
        </w:rPr>
        <w:t>7. Если откажут</w:t>
      </w:r>
    </w:p>
    <w:p>
      <w:pPr>
        <w:keepNext w:val="0"/>
        <w:spacing w:before="0" w:after="120" w:line="276" w:lineRule="auto"/>
        <w:ind w:firstLine="709" w:left="0"/>
        <w:jc w:val="both"/>
      </w:pPr>
      <w:r>
        <w:rPr>
          <w:rFonts w:ascii="Times New Roman" w:hAnsi="Times New Roman" w:eastAsia="Times New Roman"/>
          <w:b w:val="0"/>
          <w:i w:val="0"/>
          <w:sz w:val="24"/>
        </w:rPr>
        <w:t>Определение об отказе в принятии обжалуется в Президиум Верховного Суда в течение 96 часов со дня вынесения (часть 2 статьи 20 Конституционного закона «О судебной системе»). Форма — «Надзорная жалоба № ___» из общих форм подачи, пошлина 80 000 $ (часть 7 статьи 60). Обжалование имеет смысл, если в определении названо одно из оснований части 8 статьи 39: тогда доводы переписываются под это основание, а не повторяются целиком.</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